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  <w:r w:rsidR="00F32A52">
              <w:rPr>
                <w:rFonts w:ascii="Arial" w:hAnsi="Arial" w:cs="Arial"/>
                <w:b/>
                <w:lang w:val="es-AR"/>
              </w:rPr>
              <w:t>I</w:t>
            </w:r>
          </w:p>
          <w:p w:rsidR="00F32A52" w:rsidRDefault="00F32A52" w:rsidP="00655314">
            <w:pPr>
              <w:spacing w:after="12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SISTEMAS DE AUTOMATIZACIÓN, CONTROL Y</w:t>
            </w:r>
            <w:r w:rsidR="00BE73AD">
              <w:rPr>
                <w:rFonts w:ascii="Arial Bold" w:hAnsi="Arial Bold" w:cs="Arial"/>
                <w:b/>
                <w:caps/>
                <w:lang w:val="es-AR"/>
              </w:rPr>
              <w:t xml:space="preserve"> </w:t>
            </w:r>
            <w:r>
              <w:rPr>
                <w:rFonts w:ascii="Arial Bold" w:hAnsi="Arial Bold" w:cs="Arial"/>
                <w:b/>
                <w:caps/>
                <w:lang w:val="es-AR"/>
              </w:rPr>
              <w:t>COMUNICACIONES</w:t>
            </w:r>
            <w:bookmarkStart w:id="0" w:name="_GoBack"/>
            <w:bookmarkEnd w:id="0"/>
          </w:p>
          <w:p w:rsidR="00512E18" w:rsidRDefault="00512E18" w:rsidP="00512E18">
            <w:pPr>
              <w:spacing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BD28CD">
              <w:rPr>
                <w:rFonts w:ascii="Arial" w:hAnsi="Arial" w:cs="Arial"/>
                <w:b/>
                <w:lang w:val="es-AR"/>
              </w:rPr>
              <w:t>SECCION VII</w:t>
            </w:r>
            <w:r>
              <w:rPr>
                <w:rFonts w:ascii="Arial" w:hAnsi="Arial" w:cs="Arial"/>
                <w:b/>
                <w:lang w:val="es-AR"/>
              </w:rPr>
              <w:t xml:space="preserve"> </w:t>
            </w:r>
            <w:r w:rsidRPr="00BD28CD">
              <w:rPr>
                <w:rFonts w:ascii="Arial" w:hAnsi="Arial" w:cs="Arial"/>
                <w:b/>
                <w:lang w:val="es-AR"/>
              </w:rPr>
              <w:t>d.</w:t>
            </w:r>
            <w:r>
              <w:rPr>
                <w:rFonts w:ascii="Arial" w:hAnsi="Arial" w:cs="Arial"/>
                <w:b/>
                <w:lang w:val="es-AR"/>
              </w:rPr>
              <w:t>2</w:t>
            </w:r>
            <w:r w:rsidR="00655314">
              <w:rPr>
                <w:rFonts w:ascii="Arial" w:hAnsi="Arial" w:cs="Arial"/>
                <w:b/>
                <w:lang w:val="es-AR"/>
              </w:rPr>
              <w:t xml:space="preserve"> – RADIO ENLACE DIGITAL</w:t>
            </w:r>
          </w:p>
          <w:p w:rsidR="00BE73AD" w:rsidRPr="00A67F4E" w:rsidRDefault="00512E18" w:rsidP="00512E18">
            <w:pPr>
              <w:spacing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 w:rsidRPr="00BD28CD">
              <w:rPr>
                <w:rFonts w:ascii="Arial" w:hAnsi="Arial" w:cs="Arial"/>
                <w:b/>
                <w:caps/>
                <w:lang w:val="es-AR"/>
              </w:rPr>
              <w:t>ESPECIFICACIONES TÉCNICAS MÁSTIL NUEVA REPETIDORA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512E18" w:rsidRDefault="00512E18" w:rsidP="00512E18">
      <w:pPr>
        <w:spacing w:after="120"/>
        <w:jc w:val="center"/>
        <w:rPr>
          <w:rFonts w:ascii="Arial" w:hAnsi="Arial" w:cs="Arial"/>
          <w:b/>
          <w:sz w:val="22"/>
          <w:szCs w:val="22"/>
          <w:lang w:val="es-AR"/>
        </w:rPr>
      </w:pPr>
      <w:r w:rsidRPr="00512E18">
        <w:rPr>
          <w:rFonts w:ascii="Arial" w:hAnsi="Arial" w:cs="Arial"/>
          <w:b/>
          <w:sz w:val="22"/>
          <w:szCs w:val="22"/>
          <w:lang w:val="es-AR"/>
        </w:rPr>
        <w:lastRenderedPageBreak/>
        <w:t>SECCION VII</w:t>
      </w:r>
      <w:r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Pr="00512E18">
        <w:rPr>
          <w:rFonts w:ascii="Arial" w:hAnsi="Arial" w:cs="Arial"/>
          <w:b/>
          <w:sz w:val="22"/>
          <w:szCs w:val="22"/>
          <w:lang w:val="es-AR"/>
        </w:rPr>
        <w:t>d.</w:t>
      </w:r>
      <w:r>
        <w:rPr>
          <w:rFonts w:ascii="Arial" w:hAnsi="Arial" w:cs="Arial"/>
          <w:b/>
          <w:sz w:val="22"/>
          <w:szCs w:val="22"/>
          <w:lang w:val="es-AR"/>
        </w:rPr>
        <w:t>2</w:t>
      </w:r>
    </w:p>
    <w:p w:rsidR="00BE73AD" w:rsidRPr="00512E18" w:rsidRDefault="00512E18" w:rsidP="00512E18">
      <w:pPr>
        <w:jc w:val="center"/>
        <w:rPr>
          <w:rFonts w:ascii="Arial" w:hAnsi="Arial" w:cs="Arial"/>
          <w:sz w:val="22"/>
          <w:szCs w:val="22"/>
          <w:lang w:val="es-ES_tradnl" w:eastAsia="es-AR"/>
        </w:rPr>
      </w:pPr>
      <w:r w:rsidRPr="00512E18">
        <w:rPr>
          <w:rFonts w:ascii="Arial" w:hAnsi="Arial" w:cs="Arial"/>
          <w:b/>
          <w:caps/>
          <w:sz w:val="22"/>
          <w:szCs w:val="22"/>
          <w:lang w:val="es-AR"/>
        </w:rPr>
        <w:t>ESPECIFICACIONES TÉCNICAS MÁSTIL NUEVA REPETIDORA</w:t>
      </w:r>
    </w:p>
    <w:p w:rsidR="00512E18" w:rsidRDefault="00512E18" w:rsidP="00BE73AD">
      <w:pPr>
        <w:jc w:val="both"/>
        <w:rPr>
          <w:rFonts w:ascii="Arial" w:hAnsi="Arial" w:cs="Arial"/>
          <w:sz w:val="20"/>
          <w:szCs w:val="20"/>
          <w:lang w:val="es-ES_tradnl" w:eastAsia="es-AR"/>
        </w:rPr>
      </w:pPr>
    </w:p>
    <w:p w:rsidR="00512E18" w:rsidRDefault="00512E18" w:rsidP="00BE73AD">
      <w:pPr>
        <w:jc w:val="both"/>
        <w:rPr>
          <w:rFonts w:ascii="Arial" w:hAnsi="Arial" w:cs="Arial"/>
          <w:sz w:val="20"/>
          <w:szCs w:val="20"/>
          <w:lang w:val="es-ES_tradnl" w:eastAsia="es-AR"/>
        </w:rPr>
      </w:pPr>
    </w:p>
    <w:p w:rsidR="00512E18" w:rsidRPr="00BD28CD" w:rsidRDefault="00512E18" w:rsidP="00BE73AD">
      <w:pPr>
        <w:jc w:val="both"/>
        <w:rPr>
          <w:rFonts w:ascii="Arial" w:hAnsi="Arial" w:cs="Arial"/>
          <w:sz w:val="20"/>
          <w:szCs w:val="20"/>
          <w:lang w:val="es-ES_tradnl" w:eastAsia="es-AR"/>
        </w:rPr>
      </w:pP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A1639B" w:rsidRDefault="00BE73AD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r w:rsidRPr="001F56F4">
        <w:rPr>
          <w:rFonts w:ascii="Arial" w:hAnsi="Arial" w:cs="Arial"/>
          <w:noProof/>
          <w:sz w:val="22"/>
          <w:szCs w:val="22"/>
          <w:lang w:val="es-AR"/>
        </w:rPr>
        <w:fldChar w:fldCharType="begin"/>
      </w:r>
      <w:r w:rsidRPr="001F56F4">
        <w:rPr>
          <w:rFonts w:ascii="Arial" w:hAnsi="Arial" w:cs="Arial"/>
          <w:noProof/>
          <w:sz w:val="22"/>
          <w:szCs w:val="22"/>
          <w:lang w:val="es-AR"/>
        </w:rPr>
        <w:instrText xml:space="preserve"> TOC \o "1-3" \h \z \u </w:instrText>
      </w:r>
      <w:r w:rsidRPr="001F56F4">
        <w:rPr>
          <w:rFonts w:ascii="Arial" w:hAnsi="Arial" w:cs="Arial"/>
          <w:noProof/>
          <w:sz w:val="22"/>
          <w:szCs w:val="22"/>
          <w:lang w:val="es-AR"/>
        </w:rPr>
        <w:fldChar w:fldCharType="separate"/>
      </w:r>
      <w:hyperlink w:anchor="_Toc523312632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1.- Objeto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_Toc523312632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3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33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2.- Alcance de los Trabajos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_Toc523312633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3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34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2.1. Balizamiento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_Toc523312634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3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35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2.2. Pararrayos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_Toc523312635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5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36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2.3. Salvacaídas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_Toc523312636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5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37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2.4. Soportes de Coaxiles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_Toc523312637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5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38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3.- Seguros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_Toc523312638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5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39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4.- Daños a Terceros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_Toc523312639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5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40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5.- Seguridad e Higiene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_Toc523312640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5</w:t>
        </w:r>
        <w:r w:rsidR="00A1639B">
          <w:rPr>
            <w:noProof/>
            <w:webHidden/>
          </w:rPr>
          <w:fldChar w:fldCharType="end"/>
        </w:r>
      </w:hyperlink>
    </w:p>
    <w:p w:rsidR="00A1639B" w:rsidRDefault="003F59BC">
      <w:pPr>
        <w:pStyle w:val="TDC3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 w:val="22"/>
          <w:szCs w:val="22"/>
          <w:lang w:val="es-AR" w:eastAsia="es-AR"/>
        </w:rPr>
      </w:pPr>
      <w:hyperlink w:anchor="_Toc523312641" w:history="1">
        <w:r w:rsidR="00A1639B" w:rsidRPr="00656ECA">
          <w:rPr>
            <w:rStyle w:val="Hipervnculo"/>
            <w:rFonts w:ascii="Arial" w:hAnsi="Arial" w:cs="Arial"/>
            <w:b/>
            <w:noProof/>
            <w:lang w:eastAsia="es-AR"/>
          </w:rPr>
          <w:t>6.- Garantía</w:t>
        </w:r>
        <w:r w:rsidR="00A1639B">
          <w:rPr>
            <w:noProof/>
            <w:webHidden/>
          </w:rPr>
          <w:tab/>
        </w:r>
        <w:r w:rsidR="00A1639B">
          <w:rPr>
            <w:noProof/>
            <w:webHidden/>
          </w:rPr>
          <w:fldChar w:fldCharType="begin"/>
        </w:r>
        <w:r w:rsidR="00A1639B">
          <w:rPr>
            <w:noProof/>
            <w:webHidden/>
          </w:rPr>
          <w:instrText xml:space="preserve"> PAGEREF _Toc523312641 \h </w:instrText>
        </w:r>
        <w:r w:rsidR="00A1639B">
          <w:rPr>
            <w:noProof/>
            <w:webHidden/>
          </w:rPr>
        </w:r>
        <w:r w:rsidR="00A1639B">
          <w:rPr>
            <w:noProof/>
            <w:webHidden/>
          </w:rPr>
          <w:fldChar w:fldCharType="separate"/>
        </w:r>
        <w:r w:rsidR="00A1639B">
          <w:rPr>
            <w:noProof/>
            <w:webHidden/>
          </w:rPr>
          <w:t>6</w:t>
        </w:r>
        <w:r w:rsidR="00A1639B">
          <w:rPr>
            <w:noProof/>
            <w:webHidden/>
          </w:rPr>
          <w:fldChar w:fldCharType="end"/>
        </w:r>
      </w:hyperlink>
    </w:p>
    <w:p w:rsidR="00BE73AD" w:rsidRPr="001F56F4" w:rsidRDefault="00BE73AD" w:rsidP="00BE73AD">
      <w:pPr>
        <w:rPr>
          <w:rFonts w:ascii="Arial" w:hAnsi="Arial" w:cs="Arial"/>
          <w:sz w:val="22"/>
          <w:szCs w:val="22"/>
          <w:lang w:val="es-AR"/>
        </w:rPr>
      </w:pPr>
      <w:r w:rsidRPr="001F56F4">
        <w:rPr>
          <w:rFonts w:ascii="Arial" w:hAnsi="Arial" w:cs="Arial"/>
          <w:sz w:val="22"/>
          <w:szCs w:val="22"/>
          <w:lang w:val="es-AR"/>
        </w:rPr>
        <w:fldChar w:fldCharType="end"/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BD28CD" w:rsidRDefault="00A1639B" w:rsidP="00A1639B">
      <w:pPr>
        <w:tabs>
          <w:tab w:val="left" w:pos="5310"/>
        </w:tabs>
        <w:jc w:val="both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tab/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sz w:val="22"/>
          <w:szCs w:val="22"/>
          <w:lang w:val="es-ES_tradnl" w:eastAsia="es-AR"/>
        </w:rPr>
        <w:br w:type="page"/>
      </w:r>
    </w:p>
    <w:p w:rsidR="00A1639B" w:rsidRPr="00512E18" w:rsidRDefault="00A1639B" w:rsidP="00A1639B">
      <w:pPr>
        <w:jc w:val="center"/>
        <w:rPr>
          <w:rFonts w:ascii="Arial" w:hAnsi="Arial" w:cs="Arial"/>
          <w:sz w:val="22"/>
          <w:szCs w:val="22"/>
          <w:lang w:val="es-ES_tradnl" w:eastAsia="es-AR"/>
        </w:rPr>
      </w:pPr>
      <w:r w:rsidRPr="00512E18">
        <w:rPr>
          <w:rFonts w:ascii="Arial" w:hAnsi="Arial" w:cs="Arial"/>
          <w:b/>
          <w:caps/>
          <w:sz w:val="22"/>
          <w:szCs w:val="22"/>
          <w:lang w:val="es-AR"/>
        </w:rPr>
        <w:lastRenderedPageBreak/>
        <w:t>ESPECIFICACIONES TÉCNICAS MÁSTIL NUEVA REPETIDORA</w:t>
      </w:r>
    </w:p>
    <w:p w:rsidR="00A1639B" w:rsidRPr="00A1639B" w:rsidRDefault="00A1639B" w:rsidP="00A1639B">
      <w:pPr>
        <w:rPr>
          <w:rFonts w:ascii="Arial" w:hAnsi="Arial" w:cs="Arial"/>
          <w:sz w:val="22"/>
          <w:szCs w:val="22"/>
          <w:lang w:eastAsia="es-AR"/>
        </w:rPr>
      </w:pPr>
    </w:p>
    <w:p w:rsidR="00BE73AD" w:rsidRPr="002B2749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1" w:name="_Toc523312632"/>
      <w:r w:rsidRPr="002B2749">
        <w:rPr>
          <w:rFonts w:ascii="Arial" w:hAnsi="Arial" w:cs="Arial"/>
          <w:b/>
          <w:color w:val="auto"/>
          <w:sz w:val="22"/>
          <w:szCs w:val="22"/>
          <w:lang w:eastAsia="es-AR"/>
        </w:rPr>
        <w:t>1.- Objeto</w:t>
      </w:r>
      <w:bookmarkEnd w:id="1"/>
    </w:p>
    <w:p w:rsidR="00BE73AD" w:rsidRPr="001F56F4" w:rsidRDefault="00BE73AD" w:rsidP="00BE73AD">
      <w:pPr>
        <w:rPr>
          <w:rFonts w:ascii="Arial" w:hAnsi="Arial" w:cs="Arial"/>
          <w:sz w:val="22"/>
          <w:szCs w:val="22"/>
          <w:lang w:val="es-AR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La presente Especificación Técnica tiene como objeto indicar las condiciones generales y particulares para </w:t>
      </w:r>
      <w:r w:rsidR="00A1639B">
        <w:rPr>
          <w:rFonts w:ascii="Arial" w:hAnsi="Arial" w:cs="Arial"/>
          <w:sz w:val="22"/>
          <w:szCs w:val="22"/>
          <w:lang w:val="es-ES_tradnl" w:eastAsia="es-AR"/>
        </w:rPr>
        <w:t>e</w:t>
      </w: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l </w:t>
      </w:r>
      <w:r w:rsidR="00A1639B">
        <w:rPr>
          <w:rFonts w:ascii="Arial" w:hAnsi="Arial" w:cs="Arial"/>
          <w:sz w:val="22"/>
          <w:szCs w:val="22"/>
          <w:lang w:val="es-ES_tradnl" w:eastAsia="es-AR"/>
        </w:rPr>
        <w:t>suministro</w:t>
      </w: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 de un Mástil Arriostrado.</w:t>
      </w:r>
    </w:p>
    <w:p w:rsidR="00BE73AD" w:rsidRPr="001F56F4" w:rsidRDefault="00BE73AD" w:rsidP="00A1639B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Se trata de una estructura metálica arriostrada que será implantada la nueva repetidora que será   perteneciente TRANSENER S.A. según las características particulares que a continuación se detallan.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2B2749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2" w:name="_Toc523312633"/>
      <w:r w:rsidRPr="002B2749">
        <w:rPr>
          <w:rFonts w:ascii="Arial" w:hAnsi="Arial" w:cs="Arial"/>
          <w:b/>
          <w:color w:val="auto"/>
          <w:sz w:val="22"/>
          <w:szCs w:val="22"/>
          <w:lang w:eastAsia="es-AR"/>
        </w:rPr>
        <w:t>2.- Alcance de los Trabajos</w:t>
      </w:r>
      <w:bookmarkEnd w:id="2"/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El alcance de los trabajos, en relación no limitativa, comprende la provisión de Mano de Obra calificada y necesaria, equipos, materiales y herramientas necesarias para la construcción y provisión de un Mástil Arriostrado a instalarse en la nueva repetidora cuya ubicación será resultado de los cálculos de enlaces.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ind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Las características requeridas para la prestación solicitada son:</w:t>
      </w:r>
    </w:p>
    <w:p w:rsidR="00BE73AD" w:rsidRPr="001F56F4" w:rsidRDefault="00BE73AD" w:rsidP="00BE73AD">
      <w:pPr>
        <w:ind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ind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1.- Altura de la estructura de acuerdo a los resultado</w:t>
      </w:r>
      <w:r>
        <w:rPr>
          <w:rFonts w:ascii="Arial" w:hAnsi="Arial" w:cs="Arial"/>
          <w:sz w:val="22"/>
          <w:szCs w:val="22"/>
          <w:lang w:val="es-ES_tradnl" w:eastAsia="es-AR"/>
        </w:rPr>
        <w:t>s</w:t>
      </w: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 del Cálculo de Enlace.</w:t>
      </w:r>
    </w:p>
    <w:p w:rsidR="00BE73AD" w:rsidRPr="001F56F4" w:rsidRDefault="00BE73AD" w:rsidP="00BE73AD">
      <w:pPr>
        <w:ind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2.- Ancho mínimo</w:t>
      </w:r>
      <w:r>
        <w:rPr>
          <w:rFonts w:ascii="Arial" w:hAnsi="Arial" w:cs="Arial"/>
          <w:sz w:val="22"/>
          <w:szCs w:val="22"/>
          <w:lang w:val="es-ES_tradnl" w:eastAsia="es-AR"/>
        </w:rPr>
        <w:t>,</w:t>
      </w: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 cara 0,80 m.</w:t>
      </w:r>
    </w:p>
    <w:p w:rsidR="00BE73AD" w:rsidRPr="001F56F4" w:rsidRDefault="00BE73AD" w:rsidP="00BE73AD">
      <w:pPr>
        <w:ind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3.- Sección triangular con </w:t>
      </w:r>
      <w:proofErr w:type="spellStart"/>
      <w:r w:rsidRPr="001F56F4">
        <w:rPr>
          <w:rFonts w:ascii="Arial" w:hAnsi="Arial" w:cs="Arial"/>
          <w:sz w:val="22"/>
          <w:szCs w:val="22"/>
          <w:lang w:val="es-ES_tradnl" w:eastAsia="es-AR"/>
        </w:rPr>
        <w:t>parantes</w:t>
      </w:r>
      <w:proofErr w:type="spellEnd"/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 de chapa plegada</w:t>
      </w:r>
    </w:p>
    <w:p w:rsidR="00BE73AD" w:rsidRPr="001F56F4" w:rsidRDefault="00BE73AD" w:rsidP="00BE73AD">
      <w:pPr>
        <w:ind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4.- Base articulada</w:t>
      </w:r>
    </w:p>
    <w:p w:rsidR="00BE73AD" w:rsidRPr="001F56F4" w:rsidRDefault="00BE73AD" w:rsidP="00BE73AD">
      <w:pPr>
        <w:ind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5.- Diagonales de hierro ángulo unidas mediante cartelas </w:t>
      </w:r>
      <w:proofErr w:type="spellStart"/>
      <w:r w:rsidRPr="001F56F4">
        <w:rPr>
          <w:rFonts w:ascii="Arial" w:hAnsi="Arial" w:cs="Arial"/>
          <w:sz w:val="22"/>
          <w:szCs w:val="22"/>
          <w:lang w:val="es-ES_tradnl" w:eastAsia="es-AR"/>
        </w:rPr>
        <w:t>abulonadas</w:t>
      </w:r>
      <w:proofErr w:type="spellEnd"/>
      <w:r w:rsidRPr="001F56F4">
        <w:rPr>
          <w:rFonts w:ascii="Arial" w:hAnsi="Arial" w:cs="Arial"/>
          <w:sz w:val="22"/>
          <w:szCs w:val="22"/>
          <w:lang w:val="es-ES_tradnl" w:eastAsia="es-AR"/>
        </w:rPr>
        <w:t>.</w:t>
      </w:r>
    </w:p>
    <w:p w:rsidR="00BE73AD" w:rsidRPr="001F56F4" w:rsidRDefault="00BE73AD" w:rsidP="00BE73AD">
      <w:pPr>
        <w:ind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6.- La unión de tramos con bridas </w:t>
      </w:r>
      <w:proofErr w:type="spellStart"/>
      <w:r w:rsidRPr="001F56F4">
        <w:rPr>
          <w:rFonts w:ascii="Arial" w:hAnsi="Arial" w:cs="Arial"/>
          <w:sz w:val="22"/>
          <w:szCs w:val="22"/>
          <w:lang w:val="es-ES_tradnl" w:eastAsia="es-AR"/>
        </w:rPr>
        <w:t>abulonadas</w:t>
      </w:r>
      <w:proofErr w:type="spellEnd"/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 o </w:t>
      </w:r>
      <w:proofErr w:type="spellStart"/>
      <w:r w:rsidRPr="001F56F4">
        <w:rPr>
          <w:rFonts w:ascii="Arial" w:hAnsi="Arial" w:cs="Arial"/>
          <w:sz w:val="22"/>
          <w:szCs w:val="22"/>
          <w:lang w:val="es-ES_tradnl" w:eastAsia="es-AR"/>
        </w:rPr>
        <w:t>punzonadas</w:t>
      </w:r>
      <w:proofErr w:type="spellEnd"/>
      <w:r w:rsidRPr="001F56F4">
        <w:rPr>
          <w:rFonts w:ascii="Arial" w:hAnsi="Arial" w:cs="Arial"/>
          <w:sz w:val="22"/>
          <w:szCs w:val="22"/>
          <w:lang w:val="es-ES_tradnl" w:eastAsia="es-AR"/>
        </w:rPr>
        <w:t>.</w:t>
      </w:r>
    </w:p>
    <w:p w:rsidR="00BE73AD" w:rsidRPr="001F56F4" w:rsidRDefault="00BE73AD" w:rsidP="00BE73AD">
      <w:pPr>
        <w:ind w:left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7.- Dicha estructura se arriendara a tres anclajes cuyo radio de riendas no puede superar los 42 metros.</w:t>
      </w:r>
    </w:p>
    <w:p w:rsidR="00BE73AD" w:rsidRPr="001F56F4" w:rsidRDefault="00BE73AD" w:rsidP="00BE73AD">
      <w:pPr>
        <w:ind w:left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8.- Por razones de Seguridad Pública y de Operación del Sistema en 500</w:t>
      </w:r>
      <w:r>
        <w:rPr>
          <w:rFonts w:ascii="Arial" w:hAnsi="Arial" w:cs="Arial"/>
          <w:sz w:val="22"/>
          <w:szCs w:val="22"/>
          <w:lang w:val="es-ES_tradnl" w:eastAsia="es-A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_tradnl" w:eastAsia="es-AR"/>
        </w:rPr>
        <w:t>kV</w:t>
      </w:r>
      <w:proofErr w:type="spellEnd"/>
      <w:r w:rsidRPr="001F56F4">
        <w:rPr>
          <w:rFonts w:ascii="Arial" w:hAnsi="Arial" w:cs="Arial"/>
          <w:sz w:val="22"/>
          <w:szCs w:val="22"/>
          <w:lang w:val="es-ES_tradnl" w:eastAsia="es-AR"/>
        </w:rPr>
        <w:t>, la propuesta de implantación de la estructura debe ser tal que, en caso de un colapso de la misma, no afecte las instalaciones civiles ni de potencia de la Estación Transformadora.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A1639B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511650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3" w:name="_Toc523312634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>2.1. Balizamiento</w:t>
      </w:r>
      <w:bookmarkEnd w:id="3"/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u w:val="single"/>
          <w:lang w:val="es-ES_tradnl" w:eastAsia="es-AR"/>
        </w:rPr>
      </w:pPr>
    </w:p>
    <w:p w:rsidR="00BE73AD" w:rsidRPr="001F56F4" w:rsidRDefault="00BE73AD" w:rsidP="00BE73AD">
      <w:pPr>
        <w:ind w:left="360"/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b/>
          <w:sz w:val="22"/>
          <w:szCs w:val="22"/>
          <w:u w:val="single"/>
        </w:rPr>
        <w:t>Nocturno:</w:t>
      </w:r>
      <w:r w:rsidRPr="001F56F4">
        <w:rPr>
          <w:rFonts w:ascii="Arial" w:hAnsi="Arial" w:cs="Arial"/>
          <w:sz w:val="22"/>
          <w:szCs w:val="22"/>
        </w:rPr>
        <w:t xml:space="preserve"> El balizamiento nocturno se instalará de acuerdo a las normativas que la </w:t>
      </w:r>
      <w:proofErr w:type="spellStart"/>
      <w:r w:rsidRPr="001F56F4">
        <w:rPr>
          <w:rFonts w:ascii="Arial" w:hAnsi="Arial" w:cs="Arial"/>
          <w:sz w:val="22"/>
          <w:szCs w:val="22"/>
        </w:rPr>
        <w:t>A.N.A.Cna</w:t>
      </w:r>
      <w:proofErr w:type="spellEnd"/>
      <w:r w:rsidRPr="001F56F4">
        <w:rPr>
          <w:rFonts w:ascii="Arial" w:hAnsi="Arial" w:cs="Arial"/>
          <w:sz w:val="22"/>
          <w:szCs w:val="22"/>
        </w:rPr>
        <w:t xml:space="preserve"> establece para este tipo de estructuras (</w:t>
      </w:r>
      <w:r w:rsidRPr="001F56F4">
        <w:rPr>
          <w:rFonts w:ascii="Arial" w:hAnsi="Arial" w:cs="Arial"/>
          <w:spacing w:val="-1"/>
          <w:sz w:val="22"/>
          <w:szCs w:val="22"/>
          <w:lang w:val="es-ES_tradnl"/>
        </w:rPr>
        <w:t>Disposición 156/00 y su norma CTB 01/98, modificada por CTB 01/03</w:t>
      </w:r>
      <w:r w:rsidRPr="001F56F4">
        <w:rPr>
          <w:rFonts w:ascii="Arial" w:hAnsi="Arial" w:cs="Arial"/>
          <w:sz w:val="22"/>
          <w:szCs w:val="22"/>
        </w:rPr>
        <w:t xml:space="preserve">). El sistema deberá configurarse con una UCLA (unidad control de lámpara apagada) y los elementos de balizamiento asociados (con </w:t>
      </w:r>
      <w:smartTag w:uri="urn:schemas-microsoft-com:office:smarttags" w:element="PersonName">
        <w:smartTagPr>
          <w:attr w:name="ProductID" w:val="tecnolog￭a a"/>
        </w:smartTagPr>
        <w:r w:rsidRPr="001F56F4">
          <w:rPr>
            <w:rFonts w:ascii="Arial" w:hAnsi="Arial" w:cs="Arial"/>
            <w:sz w:val="22"/>
            <w:szCs w:val="22"/>
          </w:rPr>
          <w:t>tecnología a</w:t>
        </w:r>
      </w:smartTag>
      <w:r w:rsidRPr="001F56F4">
        <w:rPr>
          <w:rFonts w:ascii="Arial" w:hAnsi="Arial" w:cs="Arial"/>
          <w:sz w:val="22"/>
          <w:szCs w:val="22"/>
        </w:rPr>
        <w:t xml:space="preserve"> LED).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F56F4">
        <w:rPr>
          <w:rFonts w:ascii="Arial" w:hAnsi="Arial" w:cs="Arial"/>
          <w:b/>
          <w:sz w:val="22"/>
          <w:szCs w:val="22"/>
          <w:u w:val="single"/>
        </w:rPr>
        <w:t>Características de la UCLA</w:t>
      </w:r>
    </w:p>
    <w:p w:rsidR="00BE73AD" w:rsidRPr="00A1639B" w:rsidRDefault="00BE73AD" w:rsidP="00A1639B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F56F4">
        <w:rPr>
          <w:rFonts w:ascii="Arial" w:hAnsi="Arial" w:cs="Arial"/>
          <w:b/>
          <w:sz w:val="22"/>
          <w:szCs w:val="22"/>
          <w:u w:val="single"/>
        </w:rPr>
        <w:t>Normas</w:t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ind w:left="708"/>
        <w:jc w:val="both"/>
        <w:rPr>
          <w:rFonts w:ascii="Arial" w:hAnsi="Arial" w:cs="Arial"/>
          <w:spacing w:val="-1"/>
          <w:sz w:val="22"/>
          <w:szCs w:val="22"/>
          <w:lang w:val="es-ES_tradnl"/>
        </w:rPr>
      </w:pPr>
      <w:r w:rsidRPr="001F56F4">
        <w:rPr>
          <w:rFonts w:ascii="Arial" w:hAnsi="Arial" w:cs="Arial"/>
          <w:spacing w:val="-1"/>
          <w:sz w:val="22"/>
          <w:szCs w:val="22"/>
          <w:lang w:val="es-ES_tradnl"/>
        </w:rPr>
        <w:t>Disposición 156/00 y su norma CTB 01/98, modificada por CTB 01/03.</w:t>
      </w:r>
    </w:p>
    <w:p w:rsidR="00BE73AD" w:rsidRPr="001F56F4" w:rsidRDefault="00BE73AD" w:rsidP="00BE73AD">
      <w:pPr>
        <w:rPr>
          <w:rFonts w:ascii="Arial" w:hAnsi="Arial" w:cs="Arial"/>
          <w:sz w:val="22"/>
          <w:szCs w:val="22"/>
          <w:lang w:val="es-ES_tradnl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pacing w:val="-1"/>
          <w:sz w:val="22"/>
          <w:szCs w:val="22"/>
          <w:lang w:val="es-ES_tradnl"/>
        </w:rPr>
      </w:pPr>
      <w:r w:rsidRPr="001F56F4">
        <w:rPr>
          <w:rFonts w:ascii="Arial" w:hAnsi="Arial" w:cs="Arial"/>
          <w:b/>
          <w:sz w:val="22"/>
          <w:szCs w:val="22"/>
          <w:u w:val="single"/>
        </w:rPr>
        <w:t>Características Mecánicas</w:t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Montaje sobre gabinete metálico apto para amurar.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</w:r>
      <w:proofErr w:type="spellStart"/>
      <w:r w:rsidRPr="001F56F4">
        <w:rPr>
          <w:rFonts w:ascii="Arial" w:hAnsi="Arial" w:cs="Arial"/>
          <w:sz w:val="22"/>
          <w:szCs w:val="22"/>
        </w:rPr>
        <w:t>Pasacables</w:t>
      </w:r>
      <w:proofErr w:type="spellEnd"/>
      <w:r w:rsidRPr="001F56F4">
        <w:rPr>
          <w:rFonts w:ascii="Arial" w:hAnsi="Arial" w:cs="Arial"/>
          <w:sz w:val="22"/>
          <w:szCs w:val="22"/>
        </w:rPr>
        <w:t xml:space="preserve"> con salida opcional (abajo/arriba).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F56F4">
        <w:rPr>
          <w:rFonts w:ascii="Arial" w:hAnsi="Arial" w:cs="Arial"/>
          <w:b/>
          <w:sz w:val="22"/>
          <w:szCs w:val="22"/>
          <w:u w:val="single"/>
        </w:rPr>
        <w:t>Características Eléctricas</w:t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Alimentación 220 VCA Salida 24 VCC.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 xml:space="preserve">Celda </w:t>
      </w:r>
      <w:proofErr w:type="spellStart"/>
      <w:r w:rsidRPr="001F56F4">
        <w:rPr>
          <w:rFonts w:ascii="Arial" w:hAnsi="Arial" w:cs="Arial"/>
          <w:sz w:val="22"/>
          <w:szCs w:val="22"/>
        </w:rPr>
        <w:t>fotocontrol</w:t>
      </w:r>
      <w:proofErr w:type="spellEnd"/>
      <w:r w:rsidRPr="001F56F4">
        <w:rPr>
          <w:rFonts w:ascii="Arial" w:hAnsi="Arial" w:cs="Arial"/>
          <w:sz w:val="22"/>
          <w:szCs w:val="22"/>
        </w:rPr>
        <w:t xml:space="preserve"> exterior.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Salida independiente para balizas (LED) de baja intensidad.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Salida independiente para balizas (LED) de media intensidad.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Posibilidad de indicación remota de alarmas.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F56F4">
        <w:rPr>
          <w:rFonts w:ascii="Arial" w:hAnsi="Arial" w:cs="Arial"/>
          <w:b/>
          <w:sz w:val="22"/>
          <w:szCs w:val="22"/>
          <w:u w:val="single"/>
        </w:rPr>
        <w:t>Condiciones Ambientales</w:t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a.- Temperatura máxima +</w:t>
      </w:r>
      <w:smartTag w:uri="urn:schemas-microsoft-com:office:smarttags" w:element="metricconverter">
        <w:smartTagPr>
          <w:attr w:name="ProductID" w:val="45ﾺC"/>
        </w:smartTagPr>
        <w:r w:rsidRPr="001F56F4">
          <w:rPr>
            <w:rFonts w:ascii="Arial" w:hAnsi="Arial" w:cs="Arial"/>
            <w:sz w:val="22"/>
            <w:szCs w:val="22"/>
          </w:rPr>
          <w:t>45ºC</w:t>
        </w:r>
      </w:smartTag>
      <w:r w:rsidRPr="001F56F4">
        <w:rPr>
          <w:rFonts w:ascii="Arial" w:hAnsi="Arial" w:cs="Arial"/>
          <w:sz w:val="22"/>
          <w:szCs w:val="22"/>
        </w:rPr>
        <w:t>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pacing w:val="1"/>
          <w:sz w:val="22"/>
          <w:szCs w:val="22"/>
          <w:lang w:val="es-ES_tradnl" w:eastAsia="es-AR"/>
        </w:rPr>
        <w:tab/>
      </w:r>
      <w:r w:rsidRPr="001F56F4">
        <w:rPr>
          <w:rFonts w:ascii="Arial" w:hAnsi="Arial" w:cs="Arial"/>
          <w:sz w:val="22"/>
          <w:szCs w:val="22"/>
        </w:rPr>
        <w:t>b.- Temperatura mínima – 25 °C.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 xml:space="preserve">c.- Temperatura media anual 10 </w:t>
      </w:r>
      <w:proofErr w:type="spellStart"/>
      <w:r w:rsidRPr="001F56F4">
        <w:rPr>
          <w:rFonts w:ascii="Arial" w:hAnsi="Arial" w:cs="Arial"/>
          <w:sz w:val="22"/>
          <w:szCs w:val="22"/>
        </w:rPr>
        <w:t>ºC</w:t>
      </w:r>
      <w:proofErr w:type="spellEnd"/>
      <w:r w:rsidRPr="001F56F4">
        <w:rPr>
          <w:rFonts w:ascii="Arial" w:hAnsi="Arial" w:cs="Arial"/>
          <w:sz w:val="22"/>
          <w:szCs w:val="22"/>
        </w:rPr>
        <w:t>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d.- Humedad relativa máxima %.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</w:r>
      <w:proofErr w:type="spellStart"/>
      <w:r w:rsidRPr="001F56F4">
        <w:rPr>
          <w:rFonts w:ascii="Arial" w:hAnsi="Arial" w:cs="Arial"/>
          <w:sz w:val="22"/>
          <w:szCs w:val="22"/>
        </w:rPr>
        <w:t>e</w:t>
      </w:r>
      <w:proofErr w:type="spellEnd"/>
      <w:r w:rsidRPr="001F56F4">
        <w:rPr>
          <w:rFonts w:ascii="Arial" w:hAnsi="Arial" w:cs="Arial"/>
          <w:sz w:val="22"/>
          <w:szCs w:val="22"/>
        </w:rPr>
        <w:t>.- Humedad relativa mínima %.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f.-  Humedad relativa media mensual máxima %.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g.- Velocidad del viento a considerar según la región de implantación a CIRSOC.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F56F4">
        <w:rPr>
          <w:rFonts w:ascii="Arial" w:hAnsi="Arial" w:cs="Arial"/>
          <w:b/>
          <w:sz w:val="22"/>
          <w:szCs w:val="22"/>
          <w:u w:val="single"/>
        </w:rPr>
        <w:t>Garantía post venta</w:t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Contra defectos de fabricación y/o de materiales por el termino de tres años.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F56F4">
        <w:rPr>
          <w:rFonts w:ascii="Arial" w:hAnsi="Arial" w:cs="Arial"/>
          <w:b/>
          <w:sz w:val="22"/>
          <w:szCs w:val="22"/>
          <w:u w:val="single"/>
        </w:rPr>
        <w:t>Características de las Balizas</w:t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>Los elementos de balizamiento deberán cumplir con las siguientes características: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Aprobación según CTB 01-03.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 xml:space="preserve">Diagrama de </w:t>
      </w:r>
      <w:proofErr w:type="spellStart"/>
      <w:r w:rsidRPr="001F56F4">
        <w:rPr>
          <w:rFonts w:ascii="Arial" w:hAnsi="Arial" w:cs="Arial"/>
          <w:sz w:val="22"/>
          <w:szCs w:val="22"/>
        </w:rPr>
        <w:t>omnidireccionalidad</w:t>
      </w:r>
      <w:proofErr w:type="spellEnd"/>
      <w:r w:rsidRPr="001F56F4">
        <w:rPr>
          <w:rFonts w:ascii="Arial" w:hAnsi="Arial" w:cs="Arial"/>
          <w:sz w:val="22"/>
          <w:szCs w:val="22"/>
        </w:rPr>
        <w:t xml:space="preserve"> totalmente </w:t>
      </w:r>
      <w:proofErr w:type="gramStart"/>
      <w:r w:rsidRPr="001F56F4">
        <w:rPr>
          <w:rFonts w:ascii="Arial" w:hAnsi="Arial" w:cs="Arial"/>
          <w:sz w:val="22"/>
          <w:szCs w:val="22"/>
        </w:rPr>
        <w:t>continuo</w:t>
      </w:r>
      <w:proofErr w:type="gramEnd"/>
      <w:r w:rsidRPr="001F56F4">
        <w:rPr>
          <w:rFonts w:ascii="Arial" w:hAnsi="Arial" w:cs="Arial"/>
          <w:sz w:val="22"/>
          <w:szCs w:val="22"/>
        </w:rPr>
        <w:t>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Tolerancia a fallas parciales y/o encendido permanente.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Tensión de alimentación 24 VCC.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ab/>
        <w:t>Resistencia a radiación UV.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>Todas las conexiones exteriores se deberán realizar mediante cableado apto intemperie.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 xml:space="preserve">La alimentación de la UCLA se efectuará por un circuito eléctrico independiente con </w:t>
      </w:r>
      <w:r w:rsidRPr="001F56F4">
        <w:rPr>
          <w:rFonts w:ascii="Arial" w:hAnsi="Arial" w:cs="Arial"/>
          <w:sz w:val="22"/>
          <w:szCs w:val="22"/>
        </w:rPr>
        <w:tab/>
        <w:t xml:space="preserve">protección adecuada mediante llave termo magnética asociada. Para la instalación se </w:t>
      </w:r>
      <w:r w:rsidRPr="001F56F4">
        <w:rPr>
          <w:rFonts w:ascii="Arial" w:hAnsi="Arial" w:cs="Arial"/>
          <w:sz w:val="22"/>
          <w:szCs w:val="22"/>
        </w:rPr>
        <w:tab/>
        <w:t xml:space="preserve">utilizará cable tipo </w:t>
      </w:r>
      <w:proofErr w:type="spellStart"/>
      <w:r w:rsidRPr="001F56F4">
        <w:rPr>
          <w:rFonts w:ascii="Arial" w:hAnsi="Arial" w:cs="Arial"/>
          <w:sz w:val="22"/>
          <w:szCs w:val="22"/>
        </w:rPr>
        <w:t>Sintenax</w:t>
      </w:r>
      <w:proofErr w:type="spellEnd"/>
      <w:r w:rsidRPr="001F56F4">
        <w:rPr>
          <w:rFonts w:ascii="Arial" w:hAnsi="Arial" w:cs="Arial"/>
          <w:sz w:val="22"/>
          <w:szCs w:val="22"/>
        </w:rPr>
        <w:t xml:space="preserve">, desde la toma de energía del tablero principal hasta la caja </w:t>
      </w:r>
      <w:r w:rsidRPr="001F56F4">
        <w:rPr>
          <w:rFonts w:ascii="Arial" w:hAnsi="Arial" w:cs="Arial"/>
          <w:sz w:val="22"/>
          <w:szCs w:val="22"/>
        </w:rPr>
        <w:tab/>
        <w:t>UCLA.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>El funcionamiento de la instalación eléctrica será automático y operará desde el crepúsculo hasta el amanecer y durante los periodos de poca o baja visibilidad.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511650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4" w:name="_Toc523312635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>2.2. Pararrayos</w:t>
      </w:r>
      <w:bookmarkEnd w:id="4"/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u w:val="single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 xml:space="preserve">La instalación del sistema de protección atmosférica y puesta a tierra se ejecutará en un todo de acuerdo a </w:t>
      </w:r>
      <w:smartTag w:uri="urn:schemas-microsoft-com:office:smarttags" w:element="PersonName">
        <w:smartTagPr>
          <w:attr w:name="ProductID" w:val="la Norma IRAM"/>
        </w:smartTagPr>
        <w:r w:rsidRPr="001F56F4">
          <w:rPr>
            <w:rFonts w:ascii="Arial" w:hAnsi="Arial" w:cs="Arial"/>
            <w:sz w:val="22"/>
            <w:szCs w:val="22"/>
          </w:rPr>
          <w:t>la Norma IRAM</w:t>
        </w:r>
      </w:smartTag>
      <w:r w:rsidRPr="001F56F4">
        <w:rPr>
          <w:rFonts w:ascii="Arial" w:hAnsi="Arial" w:cs="Arial"/>
          <w:sz w:val="22"/>
          <w:szCs w:val="22"/>
        </w:rPr>
        <w:t xml:space="preserve"> 2184, debiendo detallarse en cada caso la provisión de todos los componentes que la conformen.</w:t>
      </w:r>
    </w:p>
    <w:p w:rsidR="00BE73AD" w:rsidRPr="001F56F4" w:rsidRDefault="00BE73AD" w:rsidP="00A1639B">
      <w:pPr>
        <w:jc w:val="both"/>
        <w:rPr>
          <w:rFonts w:ascii="Arial" w:hAnsi="Arial" w:cs="Arial"/>
          <w:sz w:val="22"/>
          <w:szCs w:val="22"/>
        </w:rPr>
      </w:pPr>
    </w:p>
    <w:p w:rsidR="00BE73AD" w:rsidRPr="00511650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5" w:name="_Toc523312636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 xml:space="preserve">2.3. </w:t>
      </w:r>
      <w:proofErr w:type="spellStart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>Salvacaídas</w:t>
      </w:r>
      <w:bookmarkEnd w:id="5"/>
      <w:proofErr w:type="spellEnd"/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 xml:space="preserve">Se deberá incluir la provisión y montaje de cable de acero salva caída y sus correspondientes accesorios. (1(Un) </w:t>
      </w:r>
      <w:proofErr w:type="spellStart"/>
      <w:r w:rsidRPr="001F56F4">
        <w:rPr>
          <w:rFonts w:ascii="Arial" w:hAnsi="Arial" w:cs="Arial"/>
          <w:sz w:val="22"/>
          <w:szCs w:val="22"/>
        </w:rPr>
        <w:t>clamp</w:t>
      </w:r>
      <w:proofErr w:type="spellEnd"/>
      <w:r w:rsidRPr="001F56F4">
        <w:rPr>
          <w:rFonts w:ascii="Arial" w:hAnsi="Arial" w:cs="Arial"/>
          <w:sz w:val="22"/>
          <w:szCs w:val="22"/>
        </w:rPr>
        <w:t xml:space="preserve"> y 1 (un) cinturón de seguridad con arnés).</w:t>
      </w:r>
    </w:p>
    <w:p w:rsidR="00BE73AD" w:rsidRPr="001F56F4" w:rsidRDefault="00BE73AD" w:rsidP="00BE73AD">
      <w:pPr>
        <w:jc w:val="both"/>
        <w:rPr>
          <w:rFonts w:ascii="Arial" w:hAnsi="Arial" w:cs="Arial"/>
          <w:b/>
          <w:sz w:val="22"/>
          <w:szCs w:val="22"/>
          <w:lang w:val="es-ES_tradnl" w:eastAsia="es-AR"/>
        </w:rPr>
      </w:pPr>
    </w:p>
    <w:p w:rsidR="00BE73AD" w:rsidRPr="00511650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6" w:name="_Toc523312637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 xml:space="preserve">2.4. Soportes de </w:t>
      </w:r>
      <w:proofErr w:type="spellStart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>Coaxiles</w:t>
      </w:r>
      <w:bookmarkEnd w:id="6"/>
      <w:proofErr w:type="spellEnd"/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En todos los casos se debe considerar como parte del equipamiento; </w:t>
      </w:r>
      <w:proofErr w:type="spellStart"/>
      <w:r w:rsidRPr="001F56F4">
        <w:rPr>
          <w:rFonts w:ascii="Arial" w:hAnsi="Arial" w:cs="Arial"/>
          <w:sz w:val="22"/>
          <w:szCs w:val="22"/>
          <w:lang w:val="es-ES_tradnl" w:eastAsia="es-AR"/>
        </w:rPr>
        <w:t>morsetería</w:t>
      </w:r>
      <w:proofErr w:type="spellEnd"/>
      <w:r w:rsidRPr="001F56F4">
        <w:rPr>
          <w:rFonts w:ascii="Arial" w:hAnsi="Arial" w:cs="Arial"/>
          <w:sz w:val="22"/>
          <w:szCs w:val="22"/>
          <w:lang w:val="es-ES_tradnl" w:eastAsia="es-AR"/>
        </w:rPr>
        <w:t>, cables, grampas, PAT, etc.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 xml:space="preserve">Formando parte de la provisión de la estructura, se deberá proveer, una bandeja para montaje de alimentadores o puente guía de coaxiales de 3m de largo, destinado al tendido de conductores y/o coaxiales desde la estructura al </w:t>
      </w:r>
      <w:proofErr w:type="spellStart"/>
      <w:r w:rsidRPr="001F56F4">
        <w:rPr>
          <w:rFonts w:ascii="Arial" w:hAnsi="Arial" w:cs="Arial"/>
          <w:sz w:val="22"/>
          <w:szCs w:val="22"/>
        </w:rPr>
        <w:t>shelter</w:t>
      </w:r>
      <w:proofErr w:type="spellEnd"/>
      <w:r w:rsidRPr="001F56F4">
        <w:rPr>
          <w:rFonts w:ascii="Arial" w:hAnsi="Arial" w:cs="Arial"/>
          <w:sz w:val="22"/>
          <w:szCs w:val="22"/>
        </w:rPr>
        <w:t xml:space="preserve"> y/o recinto en donde se alojan los equipos de comunicaciones.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</w:rPr>
      </w:pPr>
      <w:r w:rsidRPr="001F56F4">
        <w:rPr>
          <w:rFonts w:ascii="Arial" w:hAnsi="Arial" w:cs="Arial"/>
          <w:sz w:val="22"/>
          <w:szCs w:val="22"/>
        </w:rPr>
        <w:t xml:space="preserve">El mismo deberá constar de una bandeja tipo escalera de </w:t>
      </w:r>
      <w:smartTag w:uri="urn:schemas-microsoft-com:office:smarttags" w:element="metricconverter">
        <w:smartTagPr>
          <w:attr w:name="ProductID" w:val="0,30 m"/>
        </w:smartTagPr>
        <w:r w:rsidRPr="001F56F4">
          <w:rPr>
            <w:rFonts w:ascii="Arial" w:hAnsi="Arial" w:cs="Arial"/>
            <w:sz w:val="22"/>
            <w:szCs w:val="22"/>
          </w:rPr>
          <w:t>0,30 m</w:t>
        </w:r>
      </w:smartTag>
      <w:r w:rsidRPr="001F56F4">
        <w:rPr>
          <w:rFonts w:ascii="Arial" w:hAnsi="Arial" w:cs="Arial"/>
          <w:sz w:val="22"/>
          <w:szCs w:val="22"/>
        </w:rPr>
        <w:t xml:space="preserve"> de ancho y </w:t>
      </w:r>
      <w:smartTag w:uri="urn:schemas-microsoft-com:office:smarttags" w:element="metricconverter">
        <w:smartTagPr>
          <w:attr w:name="ProductID" w:val="3 m"/>
        </w:smartTagPr>
        <w:r w:rsidRPr="001F56F4">
          <w:rPr>
            <w:rFonts w:ascii="Arial" w:hAnsi="Arial" w:cs="Arial"/>
            <w:sz w:val="22"/>
            <w:szCs w:val="22"/>
          </w:rPr>
          <w:t>3 m</w:t>
        </w:r>
      </w:smartTag>
      <w:r w:rsidRPr="001F56F4">
        <w:rPr>
          <w:rFonts w:ascii="Arial" w:hAnsi="Arial" w:cs="Arial"/>
          <w:sz w:val="22"/>
          <w:szCs w:val="22"/>
        </w:rPr>
        <w:t xml:space="preserve"> de largo,  con tapa de chapa perfilada galvanizada. La misma deberá estar fijada a la escalera mediante grapas.</w:t>
      </w:r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511650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7" w:name="_Toc523312638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>3.- Seguros</w:t>
      </w:r>
      <w:bookmarkEnd w:id="7"/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Se dará cumplimiento a las leyes vigentes que rigen en la materia.</w:t>
      </w:r>
    </w:p>
    <w:p w:rsidR="00BE73AD" w:rsidRPr="001F56F4" w:rsidRDefault="00BE73AD" w:rsidP="00511650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E73AD" w:rsidRPr="00511650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8" w:name="_Toc523312639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>4.- Daños a Terceros</w:t>
      </w:r>
      <w:bookmarkEnd w:id="8"/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Estará a cargo del Contratista </w:t>
      </w:r>
      <w:r>
        <w:rPr>
          <w:rFonts w:ascii="Arial" w:hAnsi="Arial" w:cs="Arial"/>
          <w:sz w:val="22"/>
          <w:szCs w:val="22"/>
          <w:lang w:val="es-ES_tradnl" w:eastAsia="es-AR"/>
        </w:rPr>
        <w:t xml:space="preserve">PPP </w:t>
      </w:r>
      <w:r w:rsidRPr="001F56F4">
        <w:rPr>
          <w:rFonts w:ascii="Arial" w:hAnsi="Arial" w:cs="Arial"/>
          <w:sz w:val="22"/>
          <w:szCs w:val="22"/>
          <w:lang w:val="es-ES_tradnl" w:eastAsia="es-AR"/>
        </w:rPr>
        <w:t>la reparación de los daños que pudiese ocasionar durante la ejecución de los trabajos de traslado y entrega de la estructura en la nueva repetidora.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511650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9" w:name="_Toc523312640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>5.- Seguridad e Higiene</w:t>
      </w:r>
      <w:bookmarkEnd w:id="9"/>
    </w:p>
    <w:p w:rsidR="00BE73AD" w:rsidRPr="00BD28CD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Se dará cumplimiento a las leyes vigentes que rigen en la materia. El Contratista </w:t>
      </w:r>
      <w:r>
        <w:rPr>
          <w:rFonts w:ascii="Arial" w:hAnsi="Arial" w:cs="Arial"/>
          <w:sz w:val="22"/>
          <w:szCs w:val="22"/>
          <w:lang w:val="es-ES_tradnl" w:eastAsia="es-AR"/>
        </w:rPr>
        <w:t xml:space="preserve">PPP </w:t>
      </w:r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deberá contar con los elementos de seguridad (cascos, arneses, zapatos de seguridad, guantes, Etc.), herramientas y elementos de </w:t>
      </w:r>
      <w:proofErr w:type="spellStart"/>
      <w:r w:rsidRPr="001F56F4">
        <w:rPr>
          <w:rFonts w:ascii="Arial" w:hAnsi="Arial" w:cs="Arial"/>
          <w:sz w:val="22"/>
          <w:szCs w:val="22"/>
          <w:lang w:val="es-ES_tradnl" w:eastAsia="es-AR"/>
        </w:rPr>
        <w:t>izaje</w:t>
      </w:r>
      <w:proofErr w:type="spellEnd"/>
      <w:r w:rsidRPr="001F56F4">
        <w:rPr>
          <w:rFonts w:ascii="Arial" w:hAnsi="Arial" w:cs="Arial"/>
          <w:sz w:val="22"/>
          <w:szCs w:val="22"/>
          <w:lang w:val="es-ES_tradnl" w:eastAsia="es-AR"/>
        </w:rPr>
        <w:t xml:space="preserve"> en óptimo estado de utilización. El oferente deberá detallar en su oferta los elementos disponibles y necesarios para la construcción del mástil y su entrega en sitio.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511650" w:rsidRDefault="00BE73AD" w:rsidP="00BE73AD">
      <w:pPr>
        <w:pStyle w:val="Ttulo3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10" w:name="_Toc523312641"/>
      <w:r w:rsidRPr="00511650">
        <w:rPr>
          <w:rFonts w:ascii="Arial" w:hAnsi="Arial" w:cs="Arial"/>
          <w:b/>
          <w:color w:val="auto"/>
          <w:sz w:val="22"/>
          <w:szCs w:val="22"/>
          <w:lang w:eastAsia="es-AR"/>
        </w:rPr>
        <w:t>6.- Garantía</w:t>
      </w:r>
      <w:bookmarkEnd w:id="10"/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1F56F4">
        <w:rPr>
          <w:rFonts w:ascii="Arial" w:hAnsi="Arial" w:cs="Arial"/>
          <w:sz w:val="22"/>
          <w:szCs w:val="22"/>
          <w:lang w:val="es-ES_tradnl" w:eastAsia="es-AR"/>
        </w:rPr>
        <w:t>Todos los trabajos tendrán un periodo de garantía de 12 meses, a partir de la firma del Acta de Recepción correspondiente.</w:t>
      </w:r>
    </w:p>
    <w:p w:rsidR="00BE73AD" w:rsidRPr="001F56F4" w:rsidRDefault="00BE73AD" w:rsidP="00BE73AD">
      <w:pPr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BE73AD" w:rsidRPr="00201C6F" w:rsidRDefault="00BE73AD" w:rsidP="00BE73AD">
      <w:pPr>
        <w:spacing w:after="200" w:line="276" w:lineRule="auto"/>
        <w:jc w:val="center"/>
        <w:rPr>
          <w:rFonts w:ascii="Calibri" w:hAnsi="Calibri" w:cs="Calibri"/>
          <w:sz w:val="22"/>
          <w:szCs w:val="22"/>
          <w:lang w:val="es-ES_tradnl"/>
        </w:rPr>
      </w:pPr>
    </w:p>
    <w:p w:rsidR="00AD40E1" w:rsidRPr="00BE73AD" w:rsidRDefault="00AD40E1" w:rsidP="000D6371">
      <w:pPr>
        <w:ind w:right="-427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BE73AD" w:rsidRPr="000D6371" w:rsidRDefault="00BE73AD" w:rsidP="000D6371">
      <w:pPr>
        <w:ind w:right="-427"/>
        <w:jc w:val="both"/>
        <w:rPr>
          <w:rFonts w:ascii="Arial" w:hAnsi="Arial" w:cs="Arial"/>
          <w:sz w:val="22"/>
          <w:szCs w:val="22"/>
        </w:rPr>
      </w:pPr>
    </w:p>
    <w:sectPr w:rsidR="00BE73AD" w:rsidRPr="000D6371" w:rsidSect="00511650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9BC" w:rsidRDefault="003F59BC">
      <w:r>
        <w:separator/>
      </w:r>
    </w:p>
  </w:endnote>
  <w:endnote w:type="continuationSeparator" w:id="0">
    <w:p w:rsidR="003F59BC" w:rsidRDefault="003F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Pr="002B2749" w:rsidRDefault="007600F3" w:rsidP="007600F3">
    <w:pPr>
      <w:pStyle w:val="Piedepgina"/>
      <w:rPr>
        <w:i/>
        <w:sz w:val="16"/>
        <w:szCs w:val="16"/>
      </w:rPr>
    </w:pPr>
    <w:r w:rsidRPr="002B2749">
      <w:rPr>
        <w:rFonts w:ascii="Arial" w:hAnsi="Arial" w:cs="Arial"/>
        <w:i/>
        <w:sz w:val="16"/>
        <w:szCs w:val="16"/>
      </w:rPr>
      <w:t xml:space="preserve">RD-CH </w:t>
    </w:r>
    <w:r w:rsidR="008F2812" w:rsidRPr="002B2749">
      <w:rPr>
        <w:rFonts w:ascii="Arial" w:hAnsi="Arial" w:cs="Arial"/>
        <w:i/>
        <w:sz w:val="16"/>
        <w:szCs w:val="16"/>
      </w:rPr>
      <w:t>(</w:t>
    </w:r>
    <w:proofErr w:type="spellStart"/>
    <w:r w:rsidR="008F2812" w:rsidRPr="002B2749">
      <w:rPr>
        <w:rFonts w:ascii="Arial" w:hAnsi="Arial" w:cs="Arial"/>
        <w:i/>
        <w:sz w:val="16"/>
        <w:szCs w:val="16"/>
      </w:rPr>
      <w:t>PBy</w:t>
    </w:r>
    <w:r w:rsidRPr="002B2749">
      <w:rPr>
        <w:rFonts w:ascii="Arial" w:hAnsi="Arial" w:cs="Arial"/>
        <w:i/>
        <w:sz w:val="16"/>
        <w:szCs w:val="16"/>
      </w:rPr>
      <w:t>C</w:t>
    </w:r>
    <w:proofErr w:type="spellEnd"/>
    <w:r w:rsidR="008F2812" w:rsidRPr="002B2749">
      <w:rPr>
        <w:rFonts w:ascii="Arial" w:hAnsi="Arial" w:cs="Arial"/>
        <w:i/>
        <w:sz w:val="16"/>
        <w:szCs w:val="16"/>
      </w:rPr>
      <w:t xml:space="preserve"> -</w:t>
    </w:r>
    <w:r w:rsidRPr="002B2749">
      <w:rPr>
        <w:rFonts w:ascii="Arial" w:hAnsi="Arial" w:cs="Arial"/>
        <w:i/>
        <w:sz w:val="16"/>
        <w:szCs w:val="16"/>
      </w:rPr>
      <w:t xml:space="preserve"> </w:t>
    </w:r>
    <w:r w:rsidR="008F2812" w:rsidRPr="002B2749">
      <w:rPr>
        <w:rFonts w:ascii="Arial" w:hAnsi="Arial" w:cs="Arial"/>
        <w:i/>
        <w:sz w:val="16"/>
        <w:szCs w:val="16"/>
      </w:rPr>
      <w:t>PPP</w:t>
    </w:r>
    <w:r w:rsidRPr="002B2749">
      <w:rPr>
        <w:rFonts w:ascii="Arial" w:hAnsi="Arial" w:cs="Arial"/>
        <w:i/>
        <w:sz w:val="16"/>
        <w:szCs w:val="16"/>
      </w:rPr>
      <w:t xml:space="preserve">) – </w:t>
    </w:r>
    <w:r w:rsidR="002B2749" w:rsidRPr="002B2749">
      <w:rPr>
        <w:rFonts w:ascii="Arial" w:hAnsi="Arial" w:cs="Arial"/>
        <w:i/>
        <w:sz w:val="16"/>
        <w:szCs w:val="16"/>
      </w:rPr>
      <w:t>Sección</w:t>
    </w:r>
    <w:r w:rsidRPr="002B2749">
      <w:rPr>
        <w:rFonts w:ascii="Arial" w:hAnsi="Arial" w:cs="Arial"/>
        <w:i/>
        <w:sz w:val="16"/>
        <w:szCs w:val="16"/>
      </w:rPr>
      <w:t xml:space="preserve"> V</w:t>
    </w:r>
    <w:r w:rsidR="00883BB5" w:rsidRPr="002B2749">
      <w:rPr>
        <w:rFonts w:ascii="Arial" w:hAnsi="Arial" w:cs="Arial"/>
        <w:i/>
        <w:sz w:val="16"/>
        <w:szCs w:val="16"/>
      </w:rPr>
      <w:t xml:space="preserve">II </w:t>
    </w:r>
    <w:r w:rsidR="002B2749" w:rsidRPr="002B2749">
      <w:rPr>
        <w:rFonts w:ascii="Arial" w:hAnsi="Arial" w:cs="Arial"/>
        <w:i/>
        <w:sz w:val="16"/>
        <w:szCs w:val="16"/>
      </w:rPr>
      <w:t>d2 –</w:t>
    </w:r>
    <w:r w:rsidRPr="002B2749">
      <w:rPr>
        <w:rFonts w:ascii="Arial" w:hAnsi="Arial" w:cs="Arial"/>
        <w:i/>
        <w:sz w:val="16"/>
        <w:szCs w:val="16"/>
      </w:rPr>
      <w:t xml:space="preserve"> </w:t>
    </w:r>
    <w:r w:rsidR="002B2749" w:rsidRPr="002B2749">
      <w:rPr>
        <w:rFonts w:ascii="Arial" w:hAnsi="Arial" w:cs="Arial"/>
        <w:i/>
        <w:sz w:val="16"/>
        <w:szCs w:val="16"/>
      </w:rPr>
      <w:t>Mástil Nueva Repetidora</w:t>
    </w:r>
    <w:r w:rsidRPr="002B2749">
      <w:rPr>
        <w:rFonts w:ascii="Arial" w:hAnsi="Arial" w:cs="Arial"/>
        <w:i/>
        <w:sz w:val="16"/>
        <w:szCs w:val="16"/>
      </w:rPr>
      <w:t xml:space="preserve"> </w:t>
    </w:r>
    <w:r w:rsidR="00F813AE" w:rsidRPr="002B2749">
      <w:rPr>
        <w:rFonts w:ascii="Arial" w:hAnsi="Arial" w:cs="Arial"/>
        <w:i/>
        <w:sz w:val="16"/>
        <w:szCs w:val="16"/>
      </w:rPr>
      <w:t>R</w:t>
    </w:r>
    <w:r w:rsidRPr="002B2749">
      <w:rPr>
        <w:rFonts w:ascii="Arial" w:hAnsi="Arial" w:cs="Arial"/>
        <w:i/>
        <w:sz w:val="16"/>
        <w:szCs w:val="16"/>
      </w:rPr>
      <w:t>ev.</w:t>
    </w:r>
    <w:r w:rsidRPr="002B2749">
      <w:rPr>
        <w:i/>
        <w:sz w:val="16"/>
        <w:szCs w:val="16"/>
      </w:rPr>
      <w:t>0</w:t>
    </w:r>
    <w:r w:rsidR="00F813AE" w:rsidRPr="002B2749">
      <w:rPr>
        <w:i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9BC" w:rsidRDefault="003F59BC">
      <w:r>
        <w:separator/>
      </w:r>
    </w:p>
  </w:footnote>
  <w:footnote w:type="continuationSeparator" w:id="0">
    <w:p w:rsidR="003F59BC" w:rsidRDefault="003F5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4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678"/>
      <w:gridCol w:w="851"/>
      <w:gridCol w:w="1134"/>
    </w:tblGrid>
    <w:tr w:rsidR="001C137C" w:rsidRPr="00316899" w:rsidTr="0041506B"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66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F32A52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F32A52">
            <w:rPr>
              <w:lang w:val="es-AR"/>
            </w:rPr>
            <w:t>I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 xml:space="preserve">: </w:t>
          </w:r>
          <w:r w:rsidR="00F32A52">
            <w:rPr>
              <w:lang w:val="es-AR"/>
            </w:rPr>
            <w:t>Sistemas de Automatización, Control y Comunicaciones de las EE.TT.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511650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512E18">
            <w:rPr>
              <w:lang w:val="es-AR"/>
            </w:rPr>
            <w:t xml:space="preserve">Sección VII d.2: </w:t>
          </w:r>
          <w:r w:rsidR="002B2749">
            <w:rPr>
              <w:lang w:val="es-AR"/>
            </w:rPr>
            <w:t>Radio Enlace Digital – Esp. Técnicas Mástil en Nueva Rep</w:t>
          </w:r>
          <w:r w:rsidR="00511650">
            <w:rPr>
              <w:lang w:val="es-AR"/>
            </w:rPr>
            <w:t>e</w:t>
          </w:r>
          <w:r w:rsidR="002B2749">
            <w:rPr>
              <w:lang w:val="es-AR"/>
            </w:rPr>
            <w:t>tidora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2B2749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2B2749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41506B" w:rsidP="00D07586">
          <w:pPr>
            <w:pStyle w:val="Encabezado"/>
            <w:jc w:val="center"/>
            <w:rPr>
              <w:lang w:val="es-AR"/>
            </w:rPr>
          </w:pPr>
          <w:r w:rsidRPr="006724FF">
            <w:rPr>
              <w:sz w:val="18"/>
              <w:szCs w:val="18"/>
              <w:lang w:val="es-AR"/>
            </w:rPr>
            <w:fldChar w:fldCharType="begin"/>
          </w:r>
          <w:r w:rsidRPr="006724FF">
            <w:rPr>
              <w:sz w:val="18"/>
              <w:szCs w:val="18"/>
              <w:lang w:val="es-AR"/>
            </w:rPr>
            <w:instrText xml:space="preserve"> PAGE   \* MERGEFORMAT </w:instrText>
          </w:r>
          <w:r w:rsidRPr="006724FF">
            <w:rPr>
              <w:sz w:val="18"/>
              <w:szCs w:val="18"/>
              <w:lang w:val="es-AR"/>
            </w:rPr>
            <w:fldChar w:fldCharType="separate"/>
          </w:r>
          <w:r w:rsidR="00655314">
            <w:rPr>
              <w:noProof/>
              <w:sz w:val="18"/>
              <w:szCs w:val="18"/>
              <w:lang w:val="es-AR"/>
            </w:rPr>
            <w:t>6</w:t>
          </w:r>
          <w:r w:rsidRPr="006724FF">
            <w:rPr>
              <w:noProof/>
              <w:sz w:val="18"/>
              <w:szCs w:val="18"/>
              <w:lang w:val="es-AR"/>
            </w:rPr>
            <w:fldChar w:fldCharType="end"/>
          </w:r>
          <w:r w:rsidRPr="006724FF">
            <w:rPr>
              <w:noProof/>
              <w:sz w:val="18"/>
              <w:szCs w:val="18"/>
              <w:lang w:val="es-AR"/>
            </w:rPr>
            <w:t>/</w:t>
          </w:r>
          <w:r w:rsidRPr="006724FF">
            <w:rPr>
              <w:rStyle w:val="Nmerodepgina"/>
              <w:sz w:val="18"/>
              <w:szCs w:val="18"/>
            </w:rPr>
            <w:fldChar w:fldCharType="begin"/>
          </w:r>
          <w:r w:rsidRPr="006724FF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6724FF">
            <w:rPr>
              <w:rStyle w:val="Nmerodepgina"/>
              <w:sz w:val="18"/>
              <w:szCs w:val="18"/>
            </w:rPr>
            <w:fldChar w:fldCharType="separate"/>
          </w:r>
          <w:r w:rsidR="00655314">
            <w:rPr>
              <w:rStyle w:val="Nmerodepgina"/>
              <w:noProof/>
              <w:sz w:val="18"/>
              <w:szCs w:val="18"/>
              <w:lang w:val="es-ES"/>
            </w:rPr>
            <w:t>6</w:t>
          </w:r>
          <w:r w:rsidRPr="006724FF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1C137C" w:rsidRPr="002B2749" w:rsidRDefault="001C137C" w:rsidP="001C137C">
    <w:pPr>
      <w:pStyle w:val="Encabezado"/>
      <w:rPr>
        <w:sz w:val="12"/>
        <w:szCs w:val="12"/>
        <w:lang w:val="es-AR"/>
      </w:rPr>
    </w:pPr>
  </w:p>
  <w:p w:rsidR="001C137C" w:rsidRPr="002B2749" w:rsidRDefault="001C137C">
    <w:pPr>
      <w:pStyle w:val="Encabezado"/>
      <w:rPr>
        <w:lang w:val="es-AR"/>
      </w:rPr>
    </w:pPr>
  </w:p>
  <w:p w:rsidR="001C137C" w:rsidRPr="002B2749" w:rsidRDefault="001C137C">
    <w:pPr>
      <w:pStyle w:val="Encabezado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1605"/>
    <w:rsid w:val="000D6371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16A6B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3654E"/>
    <w:rsid w:val="00244C09"/>
    <w:rsid w:val="0024594E"/>
    <w:rsid w:val="002509B4"/>
    <w:rsid w:val="00264532"/>
    <w:rsid w:val="00270202"/>
    <w:rsid w:val="00276295"/>
    <w:rsid w:val="0028783D"/>
    <w:rsid w:val="00292388"/>
    <w:rsid w:val="002A2E41"/>
    <w:rsid w:val="002A3C2B"/>
    <w:rsid w:val="002A54DF"/>
    <w:rsid w:val="002A7A01"/>
    <w:rsid w:val="002B2749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71FD4"/>
    <w:rsid w:val="0038751A"/>
    <w:rsid w:val="00394B2F"/>
    <w:rsid w:val="003B3B7F"/>
    <w:rsid w:val="003D7504"/>
    <w:rsid w:val="003D7D36"/>
    <w:rsid w:val="003E06B8"/>
    <w:rsid w:val="003F027D"/>
    <w:rsid w:val="003F59BC"/>
    <w:rsid w:val="00411A6E"/>
    <w:rsid w:val="0041506B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1650"/>
    <w:rsid w:val="00512E18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43FB1"/>
    <w:rsid w:val="00653735"/>
    <w:rsid w:val="00655314"/>
    <w:rsid w:val="00665232"/>
    <w:rsid w:val="00667809"/>
    <w:rsid w:val="00674693"/>
    <w:rsid w:val="00680D02"/>
    <w:rsid w:val="00683FE8"/>
    <w:rsid w:val="00690EDD"/>
    <w:rsid w:val="0069603C"/>
    <w:rsid w:val="006A6236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26E26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76BC2"/>
    <w:rsid w:val="00883BB5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17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1639B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2270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45D9A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E73AD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46C5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2A52"/>
    <w:rsid w:val="00F334BE"/>
    <w:rsid w:val="00F3484B"/>
    <w:rsid w:val="00F368B6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E73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character" w:styleId="Nmerodepgina">
    <w:name w:val="page number"/>
    <w:basedOn w:val="Fuentedeprrafopredeter"/>
    <w:semiHidden/>
    <w:rsid w:val="0041506B"/>
  </w:style>
  <w:style w:type="character" w:customStyle="1" w:styleId="Ttulo3Car">
    <w:name w:val="Título 3 Car"/>
    <w:basedOn w:val="Fuentedeprrafopredeter"/>
    <w:link w:val="Ttulo3"/>
    <w:semiHidden/>
    <w:rsid w:val="00BE73A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DC3">
    <w:name w:val="toc 3"/>
    <w:basedOn w:val="Normal"/>
    <w:next w:val="Normal"/>
    <w:autoRedefine/>
    <w:uiPriority w:val="39"/>
    <w:rsid w:val="00BE73AD"/>
    <w:pPr>
      <w:ind w:left="480"/>
    </w:pPr>
  </w:style>
  <w:style w:type="character" w:styleId="Hipervnculo">
    <w:name w:val="Hyperlink"/>
    <w:uiPriority w:val="99"/>
    <w:unhideWhenUsed/>
    <w:rsid w:val="00BE73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1047</Words>
  <Characters>5763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VII: Sistemas de Automatización, Control y Comunicaciones de las EE.TT</dc:subject>
  <dc:creator>ESIN</dc:creator>
  <dc:description>Sección VII d.2: Esp. Técnicas Mástil en Nueva Repetidora - Versión revisada por ESIN el 08.08.17 Rev 03 Se agregó nueva carátula (ao) 28/08/2018</dc:description>
  <cp:lastModifiedBy>Alfredo Otero</cp:lastModifiedBy>
  <cp:revision>4</cp:revision>
  <dcterms:created xsi:type="dcterms:W3CDTF">2018-08-29T15:52:00Z</dcterms:created>
  <dcterms:modified xsi:type="dcterms:W3CDTF">2018-08-29T19:05:00Z</dcterms:modified>
</cp:coreProperties>
</file>