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3C" w:rsidRDefault="00454D3C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  <w:bookmarkStart w:id="0" w:name="_gjdgxs" w:colFirst="0" w:colLast="0"/>
      <w:bookmarkEnd w:id="0"/>
    </w:p>
    <w:p w:rsidR="00454D3C" w:rsidRDefault="0075404B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  <w:r>
        <w:rPr>
          <w:b/>
        </w:rPr>
        <w:t>Lineamientos de Integridad para el mejor cumplimiento de lo establecido en los artículos 22 y 23 de la Ley N° 27.401 de Responsabilidad Penal de Personas Jurídicas</w:t>
      </w:r>
    </w:p>
    <w:p w:rsidR="00454D3C" w:rsidRDefault="00454D3C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454D3C" w:rsidRDefault="0075404B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i/>
        </w:rPr>
      </w:pPr>
      <w:r>
        <w:rPr>
          <w:b/>
          <w:i/>
        </w:rPr>
        <w:t>La Ley N° 27.401 de Responsabilidad de Personas Jurídicas</w:t>
      </w:r>
    </w:p>
    <w:p w:rsidR="00454D3C" w:rsidRDefault="00454D3C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454D3C" w:rsidRDefault="0075404B">
      <w:pPr>
        <w:numPr>
          <w:ilvl w:val="0"/>
          <w:numId w:val="12"/>
        </w:numPr>
        <w:jc w:val="both"/>
      </w:pPr>
      <w:r>
        <w:t>La Ley N° 27.401 que entró en vigencia en marzo de este año establece la responsabilidad penal de las personas jurídicas por delitos de corrupción: cohecho trasnacional y doméstico, tráfico de influencias, negociaciones incompatibles con el ejercicio de fu</w:t>
      </w:r>
      <w:r>
        <w:t>nciones públicas, concusión, enriquecimiento ilícito, y balances e informes falsos agravados.</w:t>
      </w:r>
    </w:p>
    <w:p w:rsidR="00454D3C" w:rsidRDefault="00454D3C">
      <w:pPr>
        <w:ind w:left="720"/>
        <w:contextualSpacing w:val="0"/>
        <w:jc w:val="both"/>
      </w:pPr>
    </w:p>
    <w:p w:rsidR="00454D3C" w:rsidRDefault="0075404B">
      <w:pPr>
        <w:numPr>
          <w:ilvl w:val="0"/>
          <w:numId w:val="12"/>
        </w:numPr>
        <w:jc w:val="both"/>
      </w:pPr>
      <w:r>
        <w:t xml:space="preserve">Con la sanción de esta ley la Argentina termina con un incumplimiento de más de 15 años de la Convención contra el Soborno Trasnacional de la OCDE. Era el único </w:t>
      </w:r>
      <w:r>
        <w:t>país de los 43 firmantes de la Convención que no preveía la posibilidad de que las empresas, fundaciones y otras personas jurídicas fuesen sancionadas por delitos de corrupción. Hasta la sanción de esta ley sólo podrán ser sancionadas las personas físicas;</w:t>
      </w:r>
      <w:r>
        <w:t xml:space="preserve"> es decir los individuos.</w:t>
      </w:r>
    </w:p>
    <w:p w:rsidR="00454D3C" w:rsidRDefault="0075404B">
      <w:pPr>
        <w:ind w:left="720"/>
        <w:contextualSpacing w:val="0"/>
        <w:jc w:val="both"/>
      </w:pPr>
      <w:r>
        <w:t xml:space="preserve">  </w:t>
      </w:r>
    </w:p>
    <w:p w:rsidR="00454D3C" w:rsidRDefault="0075404B">
      <w:pPr>
        <w:numPr>
          <w:ilvl w:val="0"/>
          <w:numId w:val="11"/>
        </w:numPr>
        <w:jc w:val="both"/>
      </w:pPr>
      <w:r>
        <w:t>Los</w:t>
      </w:r>
      <w:r>
        <w:rPr>
          <w:b/>
        </w:rPr>
        <w:t xml:space="preserve"> principales objetivos</w:t>
      </w:r>
      <w:r>
        <w:t xml:space="preserve"> de la Ley son dos. El primero es dotar de mayor eficacia a las políticas de prevención y lucha contra la corrupción y generar incentivos para que las personas jurídicas prevengan la comisión de delitos</w:t>
      </w:r>
      <w:r>
        <w:t xml:space="preserve"> contra la administración pública. Ello se logra no sólo por medio de la aplicación de sanciones, </w:t>
      </w:r>
      <w:proofErr w:type="spellStart"/>
      <w:r>
        <w:t>si no</w:t>
      </w:r>
      <w:proofErr w:type="spellEnd"/>
      <w:r>
        <w:t xml:space="preserve"> también de la implementación de programas de integridad al interior de las empresas. La idea de la ley es que éstas se auto-organicen para prevenir la c</w:t>
      </w:r>
      <w:r>
        <w:t>orrupción. El otro gran objetivo es que las empresas y otras personas jurídicas cooperen con las autoridades en la persecución de la corrupción señalando quién participó de los delitos por parte del sector público y privado. Estas razones explican el impul</w:t>
      </w:r>
      <w:r>
        <w:t>so de esta ley como una herramienta de lucha contra la corrupción.</w:t>
      </w:r>
    </w:p>
    <w:p w:rsidR="00454D3C" w:rsidRDefault="00454D3C">
      <w:pPr>
        <w:ind w:left="720"/>
        <w:contextualSpacing w:val="0"/>
        <w:jc w:val="both"/>
      </w:pPr>
    </w:p>
    <w:p w:rsidR="00454D3C" w:rsidRDefault="0075404B">
      <w:pPr>
        <w:numPr>
          <w:ilvl w:val="0"/>
          <w:numId w:val="11"/>
        </w:numPr>
        <w:jc w:val="both"/>
      </w:pPr>
      <w:r>
        <w:t>La ley establece que los Programas deben guardar relación con los riesgos propios de la actividad de la persona jurídica, su dimensión y capacidad económica y la Ley establece los elemento</w:t>
      </w:r>
      <w:r>
        <w:t xml:space="preserve">s que debe contener el Programa.  </w:t>
      </w:r>
    </w:p>
    <w:p w:rsidR="00454D3C" w:rsidRDefault="00454D3C">
      <w:pPr>
        <w:ind w:left="720"/>
        <w:contextualSpacing w:val="0"/>
        <w:jc w:val="both"/>
      </w:pPr>
    </w:p>
    <w:p w:rsidR="00454D3C" w:rsidRDefault="0075404B">
      <w:pPr>
        <w:contextualSpacing w:val="0"/>
        <w:jc w:val="both"/>
        <w:rPr>
          <w:b/>
          <w:i/>
        </w:rPr>
      </w:pPr>
      <w:r>
        <w:rPr>
          <w:b/>
          <w:i/>
        </w:rPr>
        <w:t>La relevancia de los Programas de Integridad en la Ley</w:t>
      </w:r>
    </w:p>
    <w:p w:rsidR="00454D3C" w:rsidRDefault="00454D3C">
      <w:pPr>
        <w:contextualSpacing w:val="0"/>
        <w:jc w:val="both"/>
        <w:rPr>
          <w:b/>
          <w:i/>
        </w:rPr>
      </w:pPr>
    </w:p>
    <w:p w:rsidR="00454D3C" w:rsidRDefault="0075404B">
      <w:pPr>
        <w:numPr>
          <w:ilvl w:val="0"/>
          <w:numId w:val="7"/>
        </w:numPr>
        <w:jc w:val="both"/>
      </w:pPr>
      <w:r>
        <w:rPr>
          <w:b/>
        </w:rPr>
        <w:t xml:space="preserve">La relevancia de los programas de integridad quedaron plasmados en el texto de la Ley. </w:t>
      </w:r>
      <w:r>
        <w:t>Si bien la adopción de un Programa de Integridad adecuado no es obligatoria (</w:t>
      </w:r>
      <w:r>
        <w:t>no lo es en ningún país del mundo), genera ciertos beneficios ya que puede:</w:t>
      </w:r>
    </w:p>
    <w:p w:rsidR="00454D3C" w:rsidRDefault="0075404B">
      <w:pPr>
        <w:numPr>
          <w:ilvl w:val="1"/>
          <w:numId w:val="7"/>
        </w:numPr>
        <w:jc w:val="both"/>
      </w:pPr>
      <w:r>
        <w:t xml:space="preserve">eximir de responsabilidad a las personas jurídicas en cuyo nombre, interés o beneficio se cometa alguno de los delitos mencionados (si se combina con una </w:t>
      </w:r>
      <w:proofErr w:type="spellStart"/>
      <w:r>
        <w:t>autodenuncia</w:t>
      </w:r>
      <w:proofErr w:type="spellEnd"/>
      <w:r>
        <w:t xml:space="preserve"> espontánea y </w:t>
      </w:r>
      <w:r>
        <w:t>la devolución del beneficio indebido);</w:t>
      </w:r>
    </w:p>
    <w:p w:rsidR="00454D3C" w:rsidRDefault="0075404B">
      <w:pPr>
        <w:numPr>
          <w:ilvl w:val="1"/>
          <w:numId w:val="7"/>
        </w:numPr>
        <w:jc w:val="both"/>
      </w:pPr>
      <w:r>
        <w:t>atenuar una eventual sanción penal;</w:t>
      </w:r>
    </w:p>
    <w:p w:rsidR="00454D3C" w:rsidRDefault="0075404B">
      <w:pPr>
        <w:numPr>
          <w:ilvl w:val="1"/>
          <w:numId w:val="7"/>
        </w:numPr>
        <w:jc w:val="both"/>
      </w:pPr>
      <w:r>
        <w:t>ser una condición para acceder a un acuerdo de colaboración eficaz con las autoridades de persecución.</w:t>
      </w:r>
    </w:p>
    <w:p w:rsidR="00454D3C" w:rsidRDefault="0075404B">
      <w:pPr>
        <w:numPr>
          <w:ilvl w:val="1"/>
          <w:numId w:val="7"/>
        </w:numPr>
        <w:jc w:val="both"/>
      </w:pPr>
      <w:r>
        <w:t>Además, la existencia de un programa adecuado es indispensable para participar en ciertas contrataciones con el Estado Nacional.</w:t>
      </w:r>
    </w:p>
    <w:p w:rsidR="00454D3C" w:rsidRDefault="00454D3C">
      <w:pPr>
        <w:ind w:left="720"/>
        <w:contextualSpacing w:val="0"/>
        <w:jc w:val="both"/>
        <w:rPr>
          <w:b/>
          <w:i/>
        </w:rPr>
      </w:pPr>
    </w:p>
    <w:p w:rsidR="00454D3C" w:rsidRDefault="0075404B">
      <w:pPr>
        <w:contextualSpacing w:val="0"/>
        <w:jc w:val="both"/>
        <w:rPr>
          <w:b/>
          <w:i/>
        </w:rPr>
      </w:pPr>
      <w:r>
        <w:rPr>
          <w:b/>
          <w:i/>
        </w:rPr>
        <w:t>La importancia de clarificar el contenido y alcance del Programa a través de Lineamientos</w:t>
      </w:r>
    </w:p>
    <w:p w:rsidR="00454D3C" w:rsidRDefault="0075404B">
      <w:pPr>
        <w:contextualSpacing w:val="0"/>
        <w:jc w:val="both"/>
      </w:pPr>
      <w:r>
        <w:t xml:space="preserve"> </w:t>
      </w:r>
    </w:p>
    <w:p w:rsidR="00454D3C" w:rsidRDefault="0075404B">
      <w:pPr>
        <w:numPr>
          <w:ilvl w:val="0"/>
          <w:numId w:val="5"/>
        </w:numPr>
        <w:jc w:val="both"/>
      </w:pPr>
      <w:r>
        <w:t>Como la Ley Nº 27.401 le asigna un</w:t>
      </w:r>
      <w:r>
        <w:t>a importancia determinante a los Programas de Integridad como elemento de ponderación de la responsabilidad empresarial por corrupción, la claridad y precisión sobre su concepto y alcance es de vital importancia para el cumplimiento de la Ley y su correcta</w:t>
      </w:r>
      <w:r>
        <w:t xml:space="preserve"> aplicación.</w:t>
      </w:r>
    </w:p>
    <w:p w:rsidR="00454D3C" w:rsidRDefault="00454D3C">
      <w:pPr>
        <w:ind w:left="720"/>
        <w:contextualSpacing w:val="0"/>
        <w:jc w:val="both"/>
      </w:pPr>
    </w:p>
    <w:p w:rsidR="00454D3C" w:rsidRDefault="0075404B">
      <w:pPr>
        <w:numPr>
          <w:ilvl w:val="0"/>
          <w:numId w:val="5"/>
        </w:numPr>
        <w:jc w:val="both"/>
      </w:pPr>
      <w:r>
        <w:t>Por ello, mediante el Decreto N° 277/2018 se le requirió a la Oficina Anticorrupción que estableciera lineamientos y guías para el mejor cumplimiento de la implementación de los Programas de Integridad (aprobados como “Lineamientos de Integri</w:t>
      </w:r>
      <w:r>
        <w:t>dad para el mejor cumplimiento de lo establecido en los artículos 22 y 23 de la Ley N° 27.401 de Responsabilidad Penal de Personas Jurídicas”).</w:t>
      </w:r>
    </w:p>
    <w:p w:rsidR="00454D3C" w:rsidRDefault="00454D3C">
      <w:pPr>
        <w:ind w:left="720"/>
        <w:contextualSpacing w:val="0"/>
        <w:jc w:val="both"/>
      </w:pPr>
    </w:p>
    <w:p w:rsidR="00454D3C" w:rsidRDefault="0075404B">
      <w:pPr>
        <w:numPr>
          <w:ilvl w:val="0"/>
          <w:numId w:val="5"/>
        </w:numPr>
        <w:jc w:val="both"/>
      </w:pPr>
      <w:r>
        <w:t xml:space="preserve">La experiencia internacional demuestra que es habitual, deseable y útil que el auxilio técnico para clarificar </w:t>
      </w:r>
      <w:r>
        <w:t>el contenido y las pautas de diseño y evaluación de los Programas sea provisto a través de lineamientos y guías elaboradas por una agencia especializada del sector público.  En la Argentina, a diferencia de España o Estados Unidos, la agencia que elabora l</w:t>
      </w:r>
      <w:r>
        <w:t xml:space="preserve">os Lineamientos (la OA) no es la encargada de aplicar la norma (es una norma penal). Nuestro modelo es más similar a Colombia y el Reino Unido. </w:t>
      </w:r>
    </w:p>
    <w:p w:rsidR="00454D3C" w:rsidRDefault="00454D3C">
      <w:pPr>
        <w:contextualSpacing w:val="0"/>
        <w:jc w:val="both"/>
      </w:pPr>
    </w:p>
    <w:p w:rsidR="00454D3C" w:rsidRDefault="0075404B">
      <w:pPr>
        <w:ind w:left="720"/>
        <w:contextualSpacing w:val="0"/>
        <w:jc w:val="both"/>
      </w:pPr>
      <w:r>
        <w:t xml:space="preserve"> </w:t>
      </w:r>
    </w:p>
    <w:p w:rsidR="00454D3C" w:rsidRDefault="0075404B">
      <w:pPr>
        <w:contextualSpacing w:val="0"/>
        <w:jc w:val="both"/>
        <w:rPr>
          <w:b/>
        </w:rPr>
      </w:pPr>
      <w:r>
        <w:rPr>
          <w:b/>
        </w:rPr>
        <w:t xml:space="preserve">Los Lineamientos </w:t>
      </w:r>
    </w:p>
    <w:p w:rsidR="00454D3C" w:rsidRDefault="00454D3C">
      <w:pPr>
        <w:ind w:left="720"/>
        <w:contextualSpacing w:val="0"/>
        <w:jc w:val="both"/>
      </w:pPr>
    </w:p>
    <w:p w:rsidR="00454D3C" w:rsidRDefault="0075404B">
      <w:pPr>
        <w:numPr>
          <w:ilvl w:val="0"/>
          <w:numId w:val="5"/>
        </w:numPr>
        <w:jc w:val="both"/>
      </w:pPr>
      <w:r>
        <w:t xml:space="preserve">El </w:t>
      </w:r>
      <w:r>
        <w:rPr>
          <w:b/>
        </w:rPr>
        <w:t xml:space="preserve">objetivo de los  </w:t>
      </w:r>
      <w:r>
        <w:rPr>
          <w:b/>
          <w:i/>
        </w:rPr>
        <w:t>Lineamientos de Integridad para el mejor cumplimiento de lo estableci</w:t>
      </w:r>
      <w:r>
        <w:rPr>
          <w:b/>
          <w:i/>
        </w:rPr>
        <w:t xml:space="preserve">do en los artículos 22 y 23 de la Ley N° 27.401 de Responsabilidad Penal de Personas Jurídicas </w:t>
      </w:r>
      <w:r>
        <w:rPr>
          <w:b/>
        </w:rPr>
        <w:t>(en adelante, “Lineamientos”)</w:t>
      </w:r>
      <w:r>
        <w:t xml:space="preserve"> es brindar una guía técnica a las empresas, las organizaciones de la sociedad civil, otras personas jurídicas, las agencias estatal</w:t>
      </w:r>
      <w:r>
        <w:t>es, los operadores del sistema de justicia y la comunidad profesional experta.</w:t>
      </w:r>
    </w:p>
    <w:p w:rsidR="00454D3C" w:rsidRDefault="00454D3C">
      <w:pPr>
        <w:ind w:left="720"/>
        <w:contextualSpacing w:val="0"/>
        <w:jc w:val="both"/>
      </w:pPr>
    </w:p>
    <w:p w:rsidR="00454D3C" w:rsidRDefault="0075404B">
      <w:pPr>
        <w:numPr>
          <w:ilvl w:val="0"/>
          <w:numId w:val="5"/>
        </w:numPr>
        <w:jc w:val="both"/>
      </w:pPr>
      <w:r>
        <w:t xml:space="preserve">El proceso de elaboración - al igual que la Ley -  fue abierto y  participativo: </w:t>
      </w:r>
    </w:p>
    <w:p w:rsidR="00454D3C" w:rsidRDefault="0075404B">
      <w:pPr>
        <w:numPr>
          <w:ilvl w:val="0"/>
          <w:numId w:val="3"/>
        </w:numPr>
        <w:jc w:val="both"/>
      </w:pPr>
      <w:r>
        <w:t>La Oficina Anticorrupción difundió una primera versión de dicho documento el 30 de julio de 20</w:t>
      </w:r>
      <w:r>
        <w:t>18 a través de su publicación en la web institucional del organismo (</w:t>
      </w:r>
      <w:hyperlink r:id="rId8">
        <w:r>
          <w:rPr>
            <w:color w:val="1155CC"/>
            <w:u w:val="single"/>
          </w:rPr>
          <w:t>https://www.argentina.gob.ar/anticorrupcion</w:t>
        </w:r>
      </w:hyperlink>
      <w:r>
        <w:t>). A esa versión se incorporaron cambios derivados de distintas instancias de par</w:t>
      </w:r>
      <w:r>
        <w:t xml:space="preserve">ticipación abiertas luego de la publicación del borrador original. </w:t>
      </w:r>
    </w:p>
    <w:p w:rsidR="00454D3C" w:rsidRDefault="0075404B">
      <w:pPr>
        <w:numPr>
          <w:ilvl w:val="0"/>
          <w:numId w:val="3"/>
        </w:numPr>
        <w:jc w:val="both"/>
      </w:pPr>
      <w:r>
        <w:t>En primer lugar, se recabaron diversos aportes en el marco de la consulta pública lanzada en el sitio web pertinente de Presidencia de la Nación (https://consultapublica.argentina.gob.ar/)</w:t>
      </w:r>
      <w:r>
        <w:t>, donde fue posible comentar el documento por el término de un mes.</w:t>
      </w:r>
    </w:p>
    <w:p w:rsidR="00454D3C" w:rsidRDefault="0075404B">
      <w:pPr>
        <w:numPr>
          <w:ilvl w:val="0"/>
          <w:numId w:val="3"/>
        </w:numPr>
        <w:jc w:val="both"/>
      </w:pPr>
      <w:r>
        <w:t>Asimismo, el 4 de septiembre de 2018 se realizó en el Salón de Pueblos Originarios de Casa Rosada una mesa de trabajo para debatir el contenido del documento, en la que participaron  asoci</w:t>
      </w:r>
      <w:r>
        <w:t>aciones, organizaciones no gubernamentales, especialistas, funcionarios, y otros actores del sector privado y la sociedad civil.</w:t>
      </w:r>
    </w:p>
    <w:p w:rsidR="00454D3C" w:rsidRDefault="00454D3C">
      <w:pPr>
        <w:ind w:left="720"/>
        <w:contextualSpacing w:val="0"/>
        <w:jc w:val="both"/>
      </w:pPr>
    </w:p>
    <w:p w:rsidR="00454D3C" w:rsidRDefault="0075404B">
      <w:pPr>
        <w:numPr>
          <w:ilvl w:val="0"/>
          <w:numId w:val="4"/>
        </w:numPr>
        <w:jc w:val="both"/>
        <w:rPr>
          <w:rFonts w:ascii="Roboto" w:eastAsia="Roboto" w:hAnsi="Roboto" w:cs="Roboto"/>
          <w:color w:val="333333"/>
          <w:sz w:val="20"/>
          <w:szCs w:val="20"/>
          <w:highlight w:val="white"/>
        </w:rPr>
      </w:pPr>
      <w:r>
        <w:t>Para la elaboración del documento se tomaron como referencia guías elaboradas por agencias especializadas del sector público d</w:t>
      </w:r>
      <w:r>
        <w:t>e otros países, tales como la de Australia (Anti-</w:t>
      </w:r>
      <w:proofErr w:type="spellStart"/>
      <w:r>
        <w:t>Bribery</w:t>
      </w:r>
      <w:proofErr w:type="spellEnd"/>
      <w:r>
        <w:t xml:space="preserve"> &amp; </w:t>
      </w:r>
      <w:proofErr w:type="spellStart"/>
      <w:r>
        <w:t>Corruption</w:t>
      </w:r>
      <w:proofErr w:type="spellEnd"/>
      <w:r>
        <w:t xml:space="preserve"> ABC), Brasil (Programa de </w:t>
      </w:r>
      <w:proofErr w:type="spellStart"/>
      <w:r>
        <w:t>Integridade</w:t>
      </w:r>
      <w:proofErr w:type="spellEnd"/>
      <w:r>
        <w:t xml:space="preserve">, </w:t>
      </w:r>
      <w:proofErr w:type="spellStart"/>
      <w:r>
        <w:t>Diretrizes</w:t>
      </w:r>
      <w:proofErr w:type="spellEnd"/>
      <w:r>
        <w:t xml:space="preserve"> para Empresas Privadas), Colombia (Guía para empresas en Colombia, ¿Cómo y por qué implementar un Programa Empresarial de Cumplimiento A</w:t>
      </w:r>
      <w:r>
        <w:t xml:space="preserve">nticorrupción?), Estados Unidos (A </w:t>
      </w:r>
      <w:proofErr w:type="spellStart"/>
      <w:r>
        <w:t>Resource</w:t>
      </w:r>
      <w:proofErr w:type="spellEnd"/>
      <w:r>
        <w:t xml:space="preserve"> Guide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Corrupt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Act</w:t>
      </w:r>
      <w:proofErr w:type="spellEnd"/>
      <w:r>
        <w:t>) e Inglaterra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Bribery</w:t>
      </w:r>
      <w:proofErr w:type="spellEnd"/>
      <w:r>
        <w:t xml:space="preserve"> </w:t>
      </w:r>
      <w:proofErr w:type="spellStart"/>
      <w:r>
        <w:t>Act</w:t>
      </w:r>
      <w:proofErr w:type="spellEnd"/>
      <w:r>
        <w:t>).</w:t>
      </w:r>
    </w:p>
    <w:p w:rsidR="00454D3C" w:rsidRDefault="00454D3C">
      <w:pPr>
        <w:contextualSpacing w:val="0"/>
        <w:jc w:val="both"/>
      </w:pPr>
    </w:p>
    <w:p w:rsidR="00454D3C" w:rsidRDefault="0075404B">
      <w:pPr>
        <w:contextualSpacing w:val="0"/>
        <w:jc w:val="both"/>
        <w:rPr>
          <w:b/>
        </w:rPr>
      </w:pPr>
      <w:r>
        <w:rPr>
          <w:b/>
        </w:rPr>
        <w:t>Cuestiones fundamentales de los Lineamientos:</w:t>
      </w:r>
    </w:p>
    <w:p w:rsidR="00454D3C" w:rsidRDefault="00454D3C">
      <w:pPr>
        <w:contextualSpacing w:val="0"/>
        <w:jc w:val="both"/>
        <w:rPr>
          <w:b/>
        </w:rPr>
      </w:pPr>
    </w:p>
    <w:p w:rsidR="00454D3C" w:rsidRDefault="0075404B">
      <w:pPr>
        <w:numPr>
          <w:ilvl w:val="0"/>
          <w:numId w:val="14"/>
        </w:numPr>
        <w:jc w:val="both"/>
      </w:pPr>
      <w:r>
        <w:t xml:space="preserve">Objetivo: </w:t>
      </w:r>
      <w:r>
        <w:t>brindar información útil a empresas, organizaciones de la sociedad civil, otras personas jurídicas, agencias estatales, operadores del sistema de justicia y otros agentes para interpretar y cumplir la Ley, prevenir, detectar y remediar hechos de corrupción</w:t>
      </w:r>
      <w:r>
        <w:t>, implementar Programas de Integridad adecuados, evaluarlos y aplicar las consecuencias de la Ley.</w:t>
      </w:r>
    </w:p>
    <w:p w:rsidR="00454D3C" w:rsidRDefault="00454D3C">
      <w:pPr>
        <w:ind w:left="720"/>
        <w:contextualSpacing w:val="0"/>
        <w:jc w:val="both"/>
      </w:pPr>
    </w:p>
    <w:p w:rsidR="00454D3C" w:rsidRDefault="0075404B">
      <w:pPr>
        <w:numPr>
          <w:ilvl w:val="0"/>
          <w:numId w:val="1"/>
        </w:numPr>
        <w:jc w:val="both"/>
      </w:pPr>
      <w:r>
        <w:t>Funcionan como guías interpretativas.</w:t>
      </w:r>
    </w:p>
    <w:p w:rsidR="00454D3C" w:rsidRDefault="00454D3C">
      <w:pPr>
        <w:ind w:left="720"/>
        <w:contextualSpacing w:val="0"/>
        <w:jc w:val="both"/>
      </w:pPr>
    </w:p>
    <w:p w:rsidR="00454D3C" w:rsidRDefault="0075404B">
      <w:pPr>
        <w:numPr>
          <w:ilvl w:val="0"/>
          <w:numId w:val="1"/>
        </w:numPr>
        <w:jc w:val="both"/>
      </w:pPr>
      <w:r>
        <w:t>Dan un nivel de detalle para una implementación de máxima. Es decir, tratando de no descartar variables a considerar sólo en un Programa de gran alcance, aunque cada organización puede elegir las pautas más apropiadas para su realidad y que puedan ser expl</w:t>
      </w:r>
      <w:r>
        <w:t>icadas como adecuadas.</w:t>
      </w:r>
    </w:p>
    <w:p w:rsidR="00454D3C" w:rsidRDefault="00454D3C">
      <w:pPr>
        <w:contextualSpacing w:val="0"/>
        <w:jc w:val="both"/>
      </w:pPr>
    </w:p>
    <w:p w:rsidR="00454D3C" w:rsidRDefault="0075404B">
      <w:pPr>
        <w:contextualSpacing w:val="0"/>
        <w:jc w:val="both"/>
        <w:rPr>
          <w:u w:val="single"/>
        </w:rPr>
      </w:pPr>
      <w:r>
        <w:rPr>
          <w:u w:val="single"/>
        </w:rPr>
        <w:t>Los Lineamientos:</w:t>
      </w:r>
    </w:p>
    <w:p w:rsidR="00454D3C" w:rsidRDefault="00454D3C">
      <w:pPr>
        <w:contextualSpacing w:val="0"/>
        <w:jc w:val="both"/>
      </w:pPr>
    </w:p>
    <w:p w:rsidR="00454D3C" w:rsidRDefault="0075404B">
      <w:pPr>
        <w:numPr>
          <w:ilvl w:val="0"/>
          <w:numId w:val="10"/>
        </w:numPr>
        <w:jc w:val="both"/>
      </w:pPr>
      <w:r>
        <w:rPr>
          <w:b/>
        </w:rPr>
        <w:t>No</w:t>
      </w:r>
      <w:r>
        <w:t xml:space="preserve"> reemplazan las evaluaciones propias de cada organización para que el Programa exprese su cultura de integridad y responda a sus riesgos, necesidades y desafíos. </w:t>
      </w:r>
    </w:p>
    <w:p w:rsidR="00454D3C" w:rsidRDefault="00454D3C">
      <w:pPr>
        <w:ind w:left="720"/>
        <w:contextualSpacing w:val="0"/>
        <w:jc w:val="both"/>
      </w:pPr>
    </w:p>
    <w:p w:rsidR="00454D3C" w:rsidRDefault="0075404B">
      <w:pPr>
        <w:numPr>
          <w:ilvl w:val="0"/>
          <w:numId w:val="10"/>
        </w:numPr>
        <w:jc w:val="both"/>
      </w:pPr>
      <w:r>
        <w:rPr>
          <w:b/>
        </w:rPr>
        <w:t>No</w:t>
      </w:r>
      <w:r>
        <w:t xml:space="preserve"> son imperativos y cada persona jurídica pued</w:t>
      </w:r>
      <w:r>
        <w:t xml:space="preserve">e adoptar o no los procedimientos y mecanismos mencionados allí, o dar los elementos una forma u otra. </w:t>
      </w:r>
    </w:p>
    <w:p w:rsidR="00454D3C" w:rsidRDefault="00454D3C">
      <w:pPr>
        <w:ind w:left="720"/>
        <w:contextualSpacing w:val="0"/>
        <w:jc w:val="both"/>
      </w:pPr>
    </w:p>
    <w:p w:rsidR="00454D3C" w:rsidRDefault="0075404B">
      <w:pPr>
        <w:numPr>
          <w:ilvl w:val="0"/>
          <w:numId w:val="10"/>
        </w:numPr>
        <w:jc w:val="both"/>
      </w:pPr>
      <w:r>
        <w:rPr>
          <w:b/>
        </w:rPr>
        <w:t>No</w:t>
      </w:r>
      <w:r>
        <w:t xml:space="preserve"> pretenden ser empleados en la persecución criminal de manera que impliquen una interpretación extensiva o analógica de la ley penal en perjuicio de </w:t>
      </w:r>
      <w:r>
        <w:t>la persona imputada.</w:t>
      </w:r>
      <w:r>
        <w:br/>
      </w:r>
      <w:r>
        <w:br/>
      </w:r>
      <w:r>
        <w:rPr>
          <w:b/>
        </w:rPr>
        <w:t xml:space="preserve">Contenido de los Lineamientos: </w:t>
      </w:r>
    </w:p>
    <w:p w:rsidR="00454D3C" w:rsidRDefault="00454D3C">
      <w:pPr>
        <w:contextualSpacing w:val="0"/>
        <w:jc w:val="both"/>
        <w:rPr>
          <w:b/>
        </w:rPr>
      </w:pPr>
    </w:p>
    <w:p w:rsidR="00454D3C" w:rsidRDefault="0075404B">
      <w:pPr>
        <w:numPr>
          <w:ilvl w:val="0"/>
          <w:numId w:val="13"/>
        </w:numPr>
        <w:jc w:val="both"/>
      </w:pPr>
      <w:r>
        <w:rPr>
          <w:u w:val="single"/>
        </w:rPr>
        <w:t>Primera parte</w:t>
      </w:r>
      <w:r>
        <w:t>: se desarrollan cuestiones generales sobre los Programas de la Ley: su concepto, parámetros para su diseño y evaluación, el catálogo de elementos provisto por la norma, pasos para su impl</w:t>
      </w:r>
      <w:r>
        <w:t xml:space="preserve">ementación, ventajas de su adopción, condiciones que permitirían considerarlo adecuado. Se detallan tal vez los criterios que la ley esgrime para que los programas se consideren adecuados: </w:t>
      </w:r>
    </w:p>
    <w:p w:rsidR="00454D3C" w:rsidRDefault="0075404B">
      <w:pPr>
        <w:numPr>
          <w:ilvl w:val="0"/>
          <w:numId w:val="2"/>
        </w:numPr>
        <w:jc w:val="both"/>
      </w:pPr>
      <w:r>
        <w:t>Riesgo</w:t>
      </w:r>
    </w:p>
    <w:p w:rsidR="00454D3C" w:rsidRDefault="0075404B">
      <w:pPr>
        <w:numPr>
          <w:ilvl w:val="0"/>
          <w:numId w:val="2"/>
        </w:numPr>
        <w:jc w:val="both"/>
      </w:pPr>
      <w:r>
        <w:t>Dimensión</w:t>
      </w:r>
    </w:p>
    <w:p w:rsidR="00454D3C" w:rsidRDefault="0075404B">
      <w:pPr>
        <w:numPr>
          <w:ilvl w:val="0"/>
          <w:numId w:val="2"/>
        </w:numPr>
        <w:jc w:val="both"/>
      </w:pPr>
      <w:r>
        <w:t>Capacidad económica</w:t>
      </w:r>
    </w:p>
    <w:p w:rsidR="00454D3C" w:rsidRDefault="00454D3C">
      <w:pPr>
        <w:ind w:left="720"/>
        <w:contextualSpacing w:val="0"/>
        <w:jc w:val="both"/>
      </w:pPr>
    </w:p>
    <w:p w:rsidR="00454D3C" w:rsidRDefault="0075404B">
      <w:pPr>
        <w:numPr>
          <w:ilvl w:val="0"/>
          <w:numId w:val="13"/>
        </w:numPr>
        <w:jc w:val="both"/>
      </w:pPr>
      <w:r>
        <w:rPr>
          <w:u w:val="single"/>
        </w:rPr>
        <w:lastRenderedPageBreak/>
        <w:t>Segunda parte</w:t>
      </w:r>
      <w:r>
        <w:t>: se desarrolla</w:t>
      </w:r>
      <w:r>
        <w:t>n los posibles elementos de un Programa, con un cuestionario de corroboración al final de cada uno para la auto-evaluación.</w:t>
      </w:r>
    </w:p>
    <w:p w:rsidR="00454D3C" w:rsidRDefault="00454D3C">
      <w:pPr>
        <w:contextualSpacing w:val="0"/>
        <w:jc w:val="both"/>
      </w:pPr>
    </w:p>
    <w:p w:rsidR="00454D3C" w:rsidRDefault="0075404B">
      <w:pPr>
        <w:contextualSpacing w:val="0"/>
        <w:jc w:val="both"/>
        <w:rPr>
          <w:u w:val="single"/>
        </w:rPr>
      </w:pPr>
      <w:r>
        <w:rPr>
          <w:u w:val="single"/>
        </w:rPr>
        <w:t>Detalle de los elementos posibles de un Programa de acuerdo con la Ley:</w:t>
      </w:r>
    </w:p>
    <w:p w:rsidR="00454D3C" w:rsidRDefault="00454D3C">
      <w:pPr>
        <w:contextualSpacing w:val="0"/>
        <w:jc w:val="both"/>
        <w:rPr>
          <w:b/>
        </w:rPr>
      </w:pPr>
    </w:p>
    <w:p w:rsidR="00454D3C" w:rsidRDefault="0075404B">
      <w:pPr>
        <w:numPr>
          <w:ilvl w:val="0"/>
          <w:numId w:val="6"/>
        </w:numPr>
        <w:jc w:val="both"/>
      </w:pPr>
      <w:r>
        <w:rPr>
          <w:b/>
        </w:rPr>
        <w:t>Apoyo de alto nivel al Programa:</w:t>
      </w:r>
      <w:r>
        <w:t xml:space="preserve"> compromiso del máximo nivel orientado a un comportamiento ético en los negocios y a la adopción de una organización interna consistente con ese compromiso.</w:t>
      </w:r>
    </w:p>
    <w:p w:rsidR="00454D3C" w:rsidRDefault="0075404B">
      <w:pPr>
        <w:numPr>
          <w:ilvl w:val="0"/>
          <w:numId w:val="6"/>
        </w:numPr>
        <w:jc w:val="both"/>
      </w:pPr>
      <w:r>
        <w:rPr>
          <w:b/>
        </w:rPr>
        <w:t>Código de Ética y políticas y procedimientos de integridad:</w:t>
      </w:r>
      <w:r>
        <w:t xml:space="preserve"> políticas que expresan con claridad los</w:t>
      </w:r>
      <w:r>
        <w:t xml:space="preserve"> valores de la organización, las pautas éticas que guíen el obrar de todos los integrantes, prohibiciones de los comportamientos indebidos, y sanciones en caso de incumplimiento.</w:t>
      </w:r>
    </w:p>
    <w:p w:rsidR="00454D3C" w:rsidRDefault="0075404B">
      <w:pPr>
        <w:numPr>
          <w:ilvl w:val="0"/>
          <w:numId w:val="6"/>
        </w:numPr>
        <w:jc w:val="both"/>
      </w:pPr>
      <w:r>
        <w:rPr>
          <w:b/>
        </w:rPr>
        <w:t>Integridad en procedimientos licitatorios y otras interacciones con el sector</w:t>
      </w:r>
      <w:r>
        <w:rPr>
          <w:b/>
        </w:rPr>
        <w:t xml:space="preserve"> público:</w:t>
      </w:r>
      <w:r>
        <w:t xml:space="preserve"> reglas que cubran toda interacción relevante con el sector público o sus integrantes.</w:t>
      </w:r>
    </w:p>
    <w:p w:rsidR="00454D3C" w:rsidRDefault="0075404B">
      <w:pPr>
        <w:numPr>
          <w:ilvl w:val="0"/>
          <w:numId w:val="6"/>
        </w:numPr>
        <w:jc w:val="both"/>
      </w:pPr>
      <w:r>
        <w:rPr>
          <w:b/>
        </w:rPr>
        <w:t>Capacitación:</w:t>
      </w:r>
      <w:r>
        <w:t xml:space="preserve"> actividades destinadas a la transferencia de los conocimientos, mensajes y valores asociados al Programa.</w:t>
      </w:r>
    </w:p>
    <w:p w:rsidR="00454D3C" w:rsidRDefault="0075404B">
      <w:pPr>
        <w:numPr>
          <w:ilvl w:val="0"/>
          <w:numId w:val="6"/>
        </w:numPr>
        <w:jc w:val="both"/>
      </w:pPr>
      <w:r>
        <w:rPr>
          <w:b/>
        </w:rPr>
        <w:t>Canales internos de denuncia:</w:t>
      </w:r>
      <w:r>
        <w:t xml:space="preserve"> dirigido a</w:t>
      </w:r>
      <w:r>
        <w:t xml:space="preserve"> que los empleados y terceros puedan denunciar violaciones al Código de Ética u otras políticas sobre conductas, principios y valores o actos ilegales.</w:t>
      </w:r>
    </w:p>
    <w:p w:rsidR="00454D3C" w:rsidRDefault="0075404B">
      <w:pPr>
        <w:numPr>
          <w:ilvl w:val="0"/>
          <w:numId w:val="6"/>
        </w:numPr>
        <w:jc w:val="both"/>
      </w:pPr>
      <w:r>
        <w:rPr>
          <w:b/>
        </w:rPr>
        <w:t>Protección de denunciantes:</w:t>
      </w:r>
      <w:r>
        <w:t xml:space="preserve"> protección suficiente a quien reporta una conducta indebida asegurando que n</w:t>
      </w:r>
      <w:r>
        <w:t>o existan represalias o repercusiones negativas con respecto a cuestiones planteadas o información proporcionada de buena fe.</w:t>
      </w:r>
    </w:p>
    <w:p w:rsidR="00454D3C" w:rsidRDefault="0075404B">
      <w:pPr>
        <w:numPr>
          <w:ilvl w:val="0"/>
          <w:numId w:val="6"/>
        </w:numPr>
        <w:jc w:val="both"/>
      </w:pPr>
      <w:r>
        <w:rPr>
          <w:b/>
        </w:rPr>
        <w:t>Investigación interna:</w:t>
      </w:r>
      <w:r>
        <w:t xml:space="preserve"> procedimiento interno que fije las pautas para llevar a cabo las investigaciones y que incluya amplias posi</w:t>
      </w:r>
      <w:r>
        <w:t>bilidades de reacción y remediación.</w:t>
      </w:r>
    </w:p>
    <w:p w:rsidR="00454D3C" w:rsidRDefault="0075404B">
      <w:pPr>
        <w:numPr>
          <w:ilvl w:val="0"/>
          <w:numId w:val="6"/>
        </w:numPr>
        <w:jc w:val="both"/>
      </w:pPr>
      <w:r>
        <w:rPr>
          <w:b/>
        </w:rPr>
        <w:t>Debida diligencia hacia terceros:</w:t>
      </w:r>
      <w:r>
        <w:t xml:space="preserve"> efectuando controles sobre los terceros en base a una priorización por riesgo.</w:t>
      </w:r>
    </w:p>
    <w:p w:rsidR="00454D3C" w:rsidRDefault="0075404B">
      <w:pPr>
        <w:numPr>
          <w:ilvl w:val="0"/>
          <w:numId w:val="6"/>
        </w:numPr>
        <w:jc w:val="both"/>
      </w:pPr>
      <w:r>
        <w:rPr>
          <w:b/>
        </w:rPr>
        <w:t>Debida diligencia en procesos de transformación societaria</w:t>
      </w:r>
      <w:r>
        <w:t>: análisis asociado a la integridad de la person</w:t>
      </w:r>
      <w:r>
        <w:t>a jurídica adquirida.</w:t>
      </w:r>
    </w:p>
    <w:p w:rsidR="00454D3C" w:rsidRDefault="0075404B">
      <w:pPr>
        <w:numPr>
          <w:ilvl w:val="0"/>
          <w:numId w:val="6"/>
        </w:numPr>
        <w:jc w:val="both"/>
      </w:pPr>
      <w:r>
        <w:rPr>
          <w:b/>
        </w:rPr>
        <w:t>Responsable interno</w:t>
      </w:r>
      <w:r>
        <w:t>: con un amplio abanico de funciones, competencias apropiadas y con autoridad, autonomía y recursos.</w:t>
      </w:r>
    </w:p>
    <w:p w:rsidR="00454D3C" w:rsidRDefault="0075404B">
      <w:pPr>
        <w:numPr>
          <w:ilvl w:val="0"/>
          <w:numId w:val="6"/>
        </w:numPr>
        <w:jc w:val="both"/>
      </w:pPr>
      <w:r>
        <w:rPr>
          <w:b/>
        </w:rPr>
        <w:t>Análisis periódico de riesgos:</w:t>
      </w:r>
      <w:r>
        <w:t xml:space="preserve"> que permita corroborar si lo que era adecuado en un momento continúa siéndolo en el</w:t>
      </w:r>
      <w:r>
        <w:t xml:space="preserve"> presente.</w:t>
      </w:r>
    </w:p>
    <w:p w:rsidR="00454D3C" w:rsidRDefault="0075404B">
      <w:pPr>
        <w:numPr>
          <w:ilvl w:val="0"/>
          <w:numId w:val="6"/>
        </w:numPr>
        <w:jc w:val="both"/>
      </w:pPr>
      <w:r>
        <w:rPr>
          <w:b/>
        </w:rPr>
        <w:t>Monitoreo y evaluación continua de la efectividad del Programa:</w:t>
      </w:r>
      <w:r>
        <w:t xml:space="preserve"> ya que el Programa es un proceso continuo de aprendizaje, adaptación y mejora, que debe responder a cambios relevantes</w:t>
      </w:r>
    </w:p>
    <w:p w:rsidR="00454D3C" w:rsidRDefault="0075404B">
      <w:pPr>
        <w:contextualSpacing w:val="0"/>
        <w:jc w:val="both"/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241300</wp:posOffset>
            </wp:positionH>
            <wp:positionV relativeFrom="paragraph">
              <wp:posOffset>-149225</wp:posOffset>
            </wp:positionV>
            <wp:extent cx="5271770" cy="3693795"/>
            <wp:effectExtent l="0" t="0" r="5080" b="1905"/>
            <wp:wrapTopAndBottom distT="114300" distB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93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4D3C" w:rsidRDefault="0075404B" w:rsidP="008D1AD5">
      <w:pPr>
        <w:numPr>
          <w:ilvl w:val="0"/>
          <w:numId w:val="9"/>
        </w:numPr>
        <w:ind w:hanging="180"/>
        <w:contextualSpacing w:val="0"/>
        <w:jc w:val="both"/>
      </w:pPr>
      <w:r>
        <w:t xml:space="preserve">Al final de cada apartado se incluye un </w:t>
      </w:r>
      <w:r w:rsidRPr="008D1AD5">
        <w:rPr>
          <w:i/>
        </w:rPr>
        <w:t>cuestionario de corr</w:t>
      </w:r>
      <w:r w:rsidRPr="008D1AD5">
        <w:rPr>
          <w:i/>
        </w:rPr>
        <w:t>oboración</w:t>
      </w:r>
      <w:r>
        <w:t xml:space="preserve"> que cada persona jurídica puede emplear para evaluar las soluciones que ya posea o que implemente. Los cuestionarios pueden también servir de auxilio a los profesionales o las autoridades que deban efectuar un examen o evaluación sobre un Program</w:t>
      </w:r>
      <w:r>
        <w:t>a implementado.</w:t>
      </w:r>
      <w:r w:rsidR="008D1AD5">
        <w:t xml:space="preserve"> </w:t>
      </w:r>
      <w:r>
        <w:t>Como ejemplo:</w:t>
      </w:r>
    </w:p>
    <w:p w:rsidR="008D1AD5" w:rsidRPr="008D1AD5" w:rsidRDefault="008D1AD5" w:rsidP="008D1AD5">
      <w:pPr>
        <w:ind w:left="720"/>
        <w:contextualSpacing w:val="0"/>
        <w:jc w:val="both"/>
      </w:pPr>
    </w:p>
    <w:tbl>
      <w:tblPr>
        <w:tblStyle w:val="a"/>
        <w:tblW w:w="900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2"/>
      </w:tblGrid>
      <w:tr w:rsidR="00454D3C" w:rsidTr="008D1AD5">
        <w:trPr>
          <w:trHeight w:val="5583"/>
          <w:jc w:val="center"/>
        </w:trPr>
        <w:tc>
          <w:tcPr>
            <w:tcW w:w="9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D3C" w:rsidRDefault="0075404B" w:rsidP="008D1AD5">
            <w:pPr>
              <w:spacing w:line="240" w:lineRule="auto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Apoyo de alto nivel al Programa. Cuestionario de corroboración:</w:t>
            </w:r>
          </w:p>
          <w:p w:rsidR="00454D3C" w:rsidRDefault="0075404B" w:rsidP="008D1AD5">
            <w:pPr>
              <w:numPr>
                <w:ilvl w:val="0"/>
                <w:numId w:val="8"/>
              </w:numPr>
              <w:spacing w:line="240" w:lineRule="auto"/>
              <w:ind w:left="1440"/>
              <w:jc w:val="both"/>
            </w:pPr>
            <w:r>
              <w:t xml:space="preserve">¿Existe una declaración pública formal del Directorio y la alta Gerencia de </w:t>
            </w:r>
            <w:bookmarkStart w:id="1" w:name="_GoBack"/>
            <w:bookmarkEnd w:id="1"/>
            <w:r>
              <w:t>tolerancia cero a la corrupción? ¿Fue comunicada?</w:t>
            </w:r>
          </w:p>
          <w:p w:rsidR="00454D3C" w:rsidRDefault="0075404B" w:rsidP="008D1AD5">
            <w:pPr>
              <w:numPr>
                <w:ilvl w:val="0"/>
                <w:numId w:val="8"/>
              </w:numPr>
              <w:spacing w:line="240" w:lineRule="auto"/>
              <w:ind w:left="1440"/>
              <w:jc w:val="both"/>
            </w:pPr>
            <w:r>
              <w:t>¿Las reglas éticas de la organizaci</w:t>
            </w:r>
            <w:r>
              <w:t xml:space="preserve">ón son igualmente obligatorias y vinculantes para el </w:t>
            </w:r>
            <w:r>
              <w:rPr>
                <w:i/>
              </w:rPr>
              <w:t xml:space="preserve">top </w:t>
            </w:r>
            <w:proofErr w:type="spellStart"/>
            <w:r>
              <w:rPr>
                <w:i/>
              </w:rPr>
              <w:t>management</w:t>
            </w:r>
            <w:proofErr w:type="spellEnd"/>
            <w:r>
              <w:rPr>
                <w:i/>
              </w:rPr>
              <w:t xml:space="preserve"> </w:t>
            </w:r>
            <w:r>
              <w:t>y para todos los demás integrantes?</w:t>
            </w:r>
          </w:p>
          <w:p w:rsidR="00454D3C" w:rsidRDefault="0075404B" w:rsidP="008D1AD5">
            <w:pPr>
              <w:numPr>
                <w:ilvl w:val="0"/>
                <w:numId w:val="8"/>
              </w:numPr>
              <w:spacing w:line="240" w:lineRule="auto"/>
              <w:ind w:left="1440"/>
              <w:jc w:val="both"/>
            </w:pPr>
            <w:r>
              <w:t xml:space="preserve">¿Cómo hacen los directores y gerentes, a través de sus palabras y acciones, para alentar el máximo compromiso con la integridad? ¿Qué acciones en concreto pueden ser citadas como evidencia? ¿Existe alguna clase de medición o evaluación sobre ese liderazgo </w:t>
            </w:r>
            <w:r>
              <w:t>ético?</w:t>
            </w:r>
          </w:p>
          <w:p w:rsidR="00454D3C" w:rsidRDefault="0075404B" w:rsidP="008D1AD5">
            <w:pPr>
              <w:numPr>
                <w:ilvl w:val="0"/>
                <w:numId w:val="8"/>
              </w:numPr>
              <w:spacing w:line="240" w:lineRule="auto"/>
              <w:ind w:left="1440"/>
              <w:jc w:val="both"/>
            </w:pPr>
            <w:r>
              <w:t>¿El personal directivo define el alcance y extensión del Programa de Integridad? ¿Establece responsabilidades operativas y de supervisión claras para el Programa? ¿Provee suficientes recursos y apoyo?</w:t>
            </w:r>
          </w:p>
          <w:p w:rsidR="00454D3C" w:rsidRDefault="0075404B" w:rsidP="008D1AD5">
            <w:pPr>
              <w:numPr>
                <w:ilvl w:val="0"/>
                <w:numId w:val="8"/>
              </w:numPr>
              <w:spacing w:line="240" w:lineRule="auto"/>
              <w:ind w:left="1440"/>
              <w:jc w:val="both"/>
            </w:pPr>
            <w:r>
              <w:t xml:space="preserve">¿El Directorio y la alta Gerencia participan de </w:t>
            </w:r>
            <w:r>
              <w:t>las actividades de capacitación? ¿De qué manera? ¿Con qué frecuencia? ¿Cómo se encuentra documentado?</w:t>
            </w:r>
          </w:p>
          <w:p w:rsidR="00454D3C" w:rsidRDefault="0075404B" w:rsidP="008D1AD5">
            <w:pPr>
              <w:numPr>
                <w:ilvl w:val="0"/>
                <w:numId w:val="8"/>
              </w:numPr>
              <w:spacing w:line="240" w:lineRule="auto"/>
              <w:ind w:left="1440"/>
              <w:jc w:val="both"/>
            </w:pPr>
            <w:r>
              <w:t xml:space="preserve">¿Con qué frecuencia el Directorio mantiene reuniones con el responsable de integridad? ¿Participan otras Gerencias de esas reuniones? ¿Con qué frecuencia </w:t>
            </w:r>
            <w:r>
              <w:t>recibe reportes sobre el funcionamiento del Programa? ¿Cómo son esos informes?</w:t>
            </w:r>
          </w:p>
          <w:p w:rsidR="00454D3C" w:rsidRDefault="0075404B" w:rsidP="008D1AD5">
            <w:pPr>
              <w:numPr>
                <w:ilvl w:val="0"/>
                <w:numId w:val="8"/>
              </w:numPr>
              <w:spacing w:line="240" w:lineRule="auto"/>
              <w:ind w:left="1440"/>
              <w:jc w:val="both"/>
            </w:pPr>
            <w:r>
              <w:t>¿La persona jurídica informa al público sobre el respaldo y compromiso del personal directivo con el Programa de Integridad?</w:t>
            </w:r>
          </w:p>
          <w:p w:rsidR="00454D3C" w:rsidRDefault="0075404B" w:rsidP="008D1AD5">
            <w:pPr>
              <w:numPr>
                <w:ilvl w:val="0"/>
                <w:numId w:val="8"/>
              </w:numPr>
              <w:spacing w:line="240" w:lineRule="auto"/>
              <w:ind w:left="1440"/>
              <w:jc w:val="both"/>
            </w:pPr>
            <w:r>
              <w:t>¿Cómo se monitorea el comportamiento ético de la alt</w:t>
            </w:r>
            <w:r>
              <w:t>a Gerencia?</w:t>
            </w:r>
          </w:p>
        </w:tc>
      </w:tr>
    </w:tbl>
    <w:p w:rsidR="00454D3C" w:rsidRDefault="00454D3C">
      <w:pPr>
        <w:contextualSpacing w:val="0"/>
        <w:jc w:val="both"/>
      </w:pPr>
    </w:p>
    <w:sectPr w:rsidR="00454D3C">
      <w:headerReference w:type="default" r:id="rId10"/>
      <w:foot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4B" w:rsidRDefault="0075404B">
      <w:pPr>
        <w:spacing w:line="240" w:lineRule="auto"/>
      </w:pPr>
      <w:r>
        <w:separator/>
      </w:r>
    </w:p>
  </w:endnote>
  <w:endnote w:type="continuationSeparator" w:id="0">
    <w:p w:rsidR="0075404B" w:rsidRDefault="00754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3C" w:rsidRDefault="0075404B">
    <w:pPr>
      <w:contextualSpacing w:val="0"/>
      <w:jc w:val="right"/>
    </w:pPr>
    <w:r>
      <w:fldChar w:fldCharType="begin"/>
    </w:r>
    <w:r>
      <w:instrText>PAGE</w:instrText>
    </w:r>
    <w:r w:rsidR="008D1AD5">
      <w:fldChar w:fldCharType="separate"/>
    </w:r>
    <w:r w:rsidR="008D1AD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4B" w:rsidRDefault="0075404B">
      <w:pPr>
        <w:spacing w:line="240" w:lineRule="auto"/>
      </w:pPr>
      <w:r>
        <w:separator/>
      </w:r>
    </w:p>
  </w:footnote>
  <w:footnote w:type="continuationSeparator" w:id="0">
    <w:p w:rsidR="0075404B" w:rsidRDefault="00754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3C" w:rsidRDefault="0075404B">
    <w:pPr>
      <w:contextualSpacing w:val="0"/>
      <w:jc w:val="center"/>
    </w:pPr>
    <w:r>
      <w:rPr>
        <w:noProof/>
      </w:rPr>
      <w:drawing>
        <wp:inline distT="114300" distB="114300" distL="114300" distR="114300">
          <wp:extent cx="2695575" cy="7620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557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61F"/>
    <w:multiLevelType w:val="multilevel"/>
    <w:tmpl w:val="E8468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1EE4673"/>
    <w:multiLevelType w:val="multilevel"/>
    <w:tmpl w:val="CE88D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58A3343"/>
    <w:multiLevelType w:val="multilevel"/>
    <w:tmpl w:val="7C66E50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0C6C492B"/>
    <w:multiLevelType w:val="multilevel"/>
    <w:tmpl w:val="7A6AB88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14A82592"/>
    <w:multiLevelType w:val="multilevel"/>
    <w:tmpl w:val="3B50B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1E469A1"/>
    <w:multiLevelType w:val="multilevel"/>
    <w:tmpl w:val="45763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ACE5BC2"/>
    <w:multiLevelType w:val="multilevel"/>
    <w:tmpl w:val="DC5C4A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74A2AF6"/>
    <w:multiLevelType w:val="multilevel"/>
    <w:tmpl w:val="A560D6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4CFB7E70"/>
    <w:multiLevelType w:val="multilevel"/>
    <w:tmpl w:val="D2406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9083465"/>
    <w:multiLevelType w:val="multilevel"/>
    <w:tmpl w:val="A7560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BD808BE"/>
    <w:multiLevelType w:val="multilevel"/>
    <w:tmpl w:val="061E3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DEC532C"/>
    <w:multiLevelType w:val="multilevel"/>
    <w:tmpl w:val="F90E4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7C91B4A"/>
    <w:multiLevelType w:val="multilevel"/>
    <w:tmpl w:val="352C4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ACF1DB9"/>
    <w:multiLevelType w:val="multilevel"/>
    <w:tmpl w:val="EAAA0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13"/>
  </w:num>
  <w:num w:numId="11">
    <w:abstractNumId w:val="11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4D3C"/>
    <w:rsid w:val="00454D3C"/>
    <w:rsid w:val="0075404B"/>
    <w:rsid w:val="008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1A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A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1AD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1A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A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1A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anticorrupc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1819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 y Derechos Humanos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Riesco</dc:creator>
  <cp:lastModifiedBy>Rocio Riesco</cp:lastModifiedBy>
  <cp:revision>2</cp:revision>
  <dcterms:created xsi:type="dcterms:W3CDTF">2018-10-03T17:15:00Z</dcterms:created>
  <dcterms:modified xsi:type="dcterms:W3CDTF">2018-10-03T17:15:00Z</dcterms:modified>
</cp:coreProperties>
</file>