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D6BBD" w14:textId="7A4876C0" w:rsidR="00D45752" w:rsidRPr="00D45752" w:rsidRDefault="00D45752" w:rsidP="00AA0F9E">
      <w:pPr>
        <w:spacing w:line="240" w:lineRule="auto"/>
        <w:jc w:val="center"/>
        <w:rPr>
          <w:rFonts w:ascii="Arial" w:hAnsi="Arial" w:cs="Arial"/>
          <w:b/>
          <w:sz w:val="24"/>
          <w:szCs w:val="16"/>
          <w:u w:val="single"/>
          <w:lang w:val="es-MX"/>
        </w:rPr>
      </w:pPr>
      <w:r w:rsidRPr="00D45752">
        <w:rPr>
          <w:rFonts w:ascii="Arial" w:hAnsi="Arial" w:cs="Arial"/>
          <w:b/>
          <w:sz w:val="24"/>
          <w:szCs w:val="16"/>
          <w:u w:val="single"/>
          <w:lang w:val="es-MX"/>
        </w:rPr>
        <w:t xml:space="preserve">Preguntas frecuentes sobre la Resolución SENASA N° </w:t>
      </w:r>
      <w:r w:rsidR="006232CD">
        <w:rPr>
          <w:rFonts w:ascii="Arial" w:hAnsi="Arial" w:cs="Arial"/>
          <w:b/>
          <w:sz w:val="24"/>
          <w:szCs w:val="16"/>
          <w:u w:val="single"/>
          <w:lang w:val="es-MX"/>
        </w:rPr>
        <w:t>875</w:t>
      </w:r>
      <w:r w:rsidRPr="00D45752">
        <w:rPr>
          <w:rFonts w:ascii="Arial" w:hAnsi="Arial" w:cs="Arial"/>
          <w:b/>
          <w:sz w:val="24"/>
          <w:szCs w:val="16"/>
          <w:u w:val="single"/>
          <w:lang w:val="es-MX"/>
        </w:rPr>
        <w:t xml:space="preserve">/2020 </w:t>
      </w:r>
    </w:p>
    <w:p w14:paraId="34F7A92C" w14:textId="75A147A6" w:rsidR="0094709E" w:rsidRDefault="00D45752" w:rsidP="00AA0F9E">
      <w:pPr>
        <w:spacing w:line="240" w:lineRule="auto"/>
        <w:jc w:val="center"/>
        <w:rPr>
          <w:rFonts w:ascii="Arial" w:hAnsi="Arial" w:cs="Arial"/>
          <w:b/>
          <w:sz w:val="24"/>
          <w:szCs w:val="16"/>
          <w:u w:val="single"/>
          <w:lang w:val="es-MX"/>
        </w:rPr>
      </w:pPr>
      <w:r w:rsidRPr="00D45752">
        <w:rPr>
          <w:rFonts w:ascii="Arial" w:hAnsi="Arial" w:cs="Arial"/>
          <w:b/>
          <w:sz w:val="24"/>
          <w:szCs w:val="16"/>
          <w:u w:val="single"/>
          <w:lang w:val="es-MX"/>
        </w:rPr>
        <w:t>“Áreas para el PNPHLB y definición de artículos reglamentados”</w:t>
      </w:r>
    </w:p>
    <w:p w14:paraId="22A10574" w14:textId="77777777" w:rsidR="00AA0F9E" w:rsidRDefault="00AA0F9E" w:rsidP="00AA0F9E">
      <w:pPr>
        <w:spacing w:line="360" w:lineRule="auto"/>
        <w:jc w:val="both"/>
        <w:rPr>
          <w:rFonts w:ascii="Arial" w:hAnsi="Arial" w:cs="Arial"/>
          <w:b/>
          <w:sz w:val="18"/>
          <w:szCs w:val="16"/>
          <w:lang w:val="es-MX"/>
        </w:rPr>
      </w:pPr>
    </w:p>
    <w:p w14:paraId="6FD2DEF7" w14:textId="394B1EAF" w:rsidR="00AA0F9E" w:rsidRPr="006F41E1" w:rsidRDefault="00AA0F9E" w:rsidP="006F41E1">
      <w:pPr>
        <w:pStyle w:val="Prrafodelista"/>
        <w:numPr>
          <w:ilvl w:val="0"/>
          <w:numId w:val="9"/>
        </w:numPr>
        <w:spacing w:line="360" w:lineRule="auto"/>
        <w:jc w:val="both"/>
        <w:rPr>
          <w:rFonts w:ascii="Arial" w:hAnsi="Arial" w:cs="Arial"/>
          <w:b/>
          <w:szCs w:val="20"/>
          <w:lang w:val="es-MX"/>
        </w:rPr>
      </w:pPr>
      <w:r w:rsidRPr="006F41E1">
        <w:rPr>
          <w:rFonts w:ascii="Arial" w:hAnsi="Arial" w:cs="Arial"/>
          <w:b/>
          <w:szCs w:val="20"/>
          <w:lang w:val="es-MX"/>
        </w:rPr>
        <w:t xml:space="preserve">¿Por qué se propició la Resolución SENASA N° </w:t>
      </w:r>
      <w:r w:rsidR="006232CD">
        <w:rPr>
          <w:rFonts w:ascii="Arial" w:hAnsi="Arial" w:cs="Arial"/>
          <w:b/>
          <w:szCs w:val="20"/>
          <w:lang w:val="es-MX"/>
        </w:rPr>
        <w:t>875</w:t>
      </w:r>
      <w:r w:rsidRPr="006F41E1">
        <w:rPr>
          <w:rFonts w:ascii="Arial" w:hAnsi="Arial" w:cs="Arial"/>
          <w:b/>
          <w:szCs w:val="20"/>
          <w:lang w:val="es-MX"/>
        </w:rPr>
        <w:t>/2020?</w:t>
      </w:r>
    </w:p>
    <w:p w14:paraId="7E5F0376" w14:textId="308197B2" w:rsidR="00AA0F9E" w:rsidRPr="00AA0F9E" w:rsidRDefault="00AA0F9E" w:rsidP="00AA0F9E">
      <w:pPr>
        <w:spacing w:line="360" w:lineRule="auto"/>
        <w:jc w:val="both"/>
        <w:rPr>
          <w:rFonts w:ascii="Arial" w:hAnsi="Arial" w:cs="Arial"/>
          <w:bCs/>
          <w:szCs w:val="20"/>
          <w:lang w:val="es-MX"/>
        </w:rPr>
      </w:pPr>
      <w:r w:rsidRPr="00AA0F9E">
        <w:rPr>
          <w:rFonts w:ascii="Arial" w:hAnsi="Arial" w:cs="Arial"/>
          <w:bCs/>
          <w:szCs w:val="20"/>
          <w:lang w:val="es-MX"/>
        </w:rPr>
        <w:t xml:space="preserve">Ante el cambio de condición del </w:t>
      </w:r>
      <w:proofErr w:type="spellStart"/>
      <w:r w:rsidRPr="00AA0F9E">
        <w:rPr>
          <w:rFonts w:ascii="Arial" w:hAnsi="Arial" w:cs="Arial"/>
          <w:bCs/>
          <w:i/>
          <w:iCs/>
          <w:szCs w:val="20"/>
          <w:lang w:val="es-MX"/>
        </w:rPr>
        <w:t>Huanglongbing</w:t>
      </w:r>
      <w:proofErr w:type="spellEnd"/>
      <w:r w:rsidRPr="00AA0F9E">
        <w:rPr>
          <w:rFonts w:ascii="Arial" w:hAnsi="Arial" w:cs="Arial"/>
          <w:bCs/>
          <w:szCs w:val="20"/>
          <w:lang w:val="es-MX"/>
        </w:rPr>
        <w:t xml:space="preserve"> en Argentina, a plaga cuarentenaria presente bajo control oficial</w:t>
      </w:r>
      <w:r w:rsidR="002030A2">
        <w:rPr>
          <w:rFonts w:ascii="Arial" w:hAnsi="Arial" w:cs="Arial"/>
          <w:bCs/>
          <w:szCs w:val="20"/>
          <w:lang w:val="es-MX"/>
        </w:rPr>
        <w:t>,</w:t>
      </w:r>
      <w:r w:rsidRPr="00AA0F9E">
        <w:rPr>
          <w:rFonts w:ascii="Arial" w:hAnsi="Arial" w:cs="Arial"/>
          <w:bCs/>
          <w:szCs w:val="20"/>
          <w:lang w:val="es-MX"/>
        </w:rPr>
        <w:t xml:space="preserve"> y en virtud de la detección de nuevos focos de la enfermedad en las provincias de </w:t>
      </w:r>
      <w:r w:rsidR="002030A2">
        <w:rPr>
          <w:rFonts w:ascii="Arial" w:hAnsi="Arial" w:cs="Arial"/>
          <w:bCs/>
          <w:szCs w:val="20"/>
          <w:lang w:val="es-MX"/>
        </w:rPr>
        <w:t>Entre Ríos y Corrientes, resulto</w:t>
      </w:r>
      <w:r w:rsidRPr="00AA0F9E">
        <w:rPr>
          <w:rFonts w:ascii="Arial" w:hAnsi="Arial" w:cs="Arial"/>
          <w:bCs/>
          <w:szCs w:val="20"/>
          <w:lang w:val="es-MX"/>
        </w:rPr>
        <w:t xml:space="preserve"> necesario actualizar el marco normativo.</w:t>
      </w:r>
    </w:p>
    <w:p w14:paraId="0FB94044" w14:textId="0F0D71F4" w:rsidR="00AA0F9E" w:rsidRPr="006F41E1" w:rsidRDefault="00AA0F9E" w:rsidP="006F41E1">
      <w:pPr>
        <w:pStyle w:val="Prrafodelista"/>
        <w:numPr>
          <w:ilvl w:val="0"/>
          <w:numId w:val="9"/>
        </w:numPr>
        <w:spacing w:line="360" w:lineRule="auto"/>
        <w:jc w:val="both"/>
        <w:rPr>
          <w:rFonts w:ascii="Arial" w:hAnsi="Arial" w:cs="Arial"/>
          <w:b/>
          <w:szCs w:val="20"/>
          <w:lang w:val="es-MX"/>
        </w:rPr>
      </w:pPr>
      <w:r w:rsidRPr="006F41E1">
        <w:rPr>
          <w:rFonts w:ascii="Arial" w:hAnsi="Arial" w:cs="Arial"/>
          <w:b/>
          <w:szCs w:val="20"/>
          <w:lang w:val="es-MX"/>
        </w:rPr>
        <w:t xml:space="preserve">¿Cuál es el objetivo de la Resolución SENASA N° </w:t>
      </w:r>
      <w:r w:rsidR="006232CD">
        <w:rPr>
          <w:rFonts w:ascii="Arial" w:hAnsi="Arial" w:cs="Arial"/>
          <w:b/>
          <w:szCs w:val="20"/>
          <w:lang w:val="es-MX"/>
        </w:rPr>
        <w:t>875</w:t>
      </w:r>
      <w:r w:rsidRPr="006F41E1">
        <w:rPr>
          <w:rFonts w:ascii="Arial" w:hAnsi="Arial" w:cs="Arial"/>
          <w:b/>
          <w:szCs w:val="20"/>
          <w:lang w:val="es-MX"/>
        </w:rPr>
        <w:t>/2020?</w:t>
      </w:r>
    </w:p>
    <w:p w14:paraId="7F8ED4DA" w14:textId="49A2C3AC" w:rsidR="00AA0F9E" w:rsidRDefault="00AA0F9E" w:rsidP="00AA0F9E">
      <w:pPr>
        <w:spacing w:line="360" w:lineRule="auto"/>
        <w:jc w:val="both"/>
        <w:rPr>
          <w:rFonts w:ascii="Arial" w:hAnsi="Arial" w:cs="Arial"/>
          <w:bCs/>
          <w:szCs w:val="20"/>
          <w:lang w:val="es-MX"/>
        </w:rPr>
      </w:pPr>
      <w:r w:rsidRPr="00AA0F9E">
        <w:rPr>
          <w:rFonts w:ascii="Arial" w:hAnsi="Arial" w:cs="Arial"/>
          <w:bCs/>
          <w:szCs w:val="20"/>
          <w:lang w:val="es-MX"/>
        </w:rPr>
        <w:t xml:space="preserve">La Resolución SENASA N° </w:t>
      </w:r>
      <w:r w:rsidR="006232CD">
        <w:rPr>
          <w:rFonts w:ascii="Arial" w:hAnsi="Arial" w:cs="Arial"/>
          <w:bCs/>
          <w:szCs w:val="20"/>
          <w:lang w:val="es-MX"/>
        </w:rPr>
        <w:t>875</w:t>
      </w:r>
      <w:r w:rsidRPr="00AA0F9E">
        <w:rPr>
          <w:rFonts w:ascii="Arial" w:hAnsi="Arial" w:cs="Arial"/>
          <w:bCs/>
          <w:szCs w:val="20"/>
          <w:lang w:val="es-MX"/>
        </w:rPr>
        <w:t>/2020 establece las áreas para el Programa Nacional de Prevención del HLB (PNPHLB), define los artículos reglamentados y las medidas de mitigación de riesgo</w:t>
      </w:r>
      <w:r w:rsidR="002030A2">
        <w:rPr>
          <w:rFonts w:ascii="Arial" w:hAnsi="Arial" w:cs="Arial"/>
          <w:bCs/>
          <w:szCs w:val="20"/>
          <w:lang w:val="es-MX"/>
        </w:rPr>
        <w:t xml:space="preserve"> fitosanitario</w:t>
      </w:r>
      <w:r w:rsidRPr="00AA0F9E">
        <w:rPr>
          <w:rFonts w:ascii="Arial" w:hAnsi="Arial" w:cs="Arial"/>
          <w:bCs/>
          <w:szCs w:val="20"/>
          <w:lang w:val="es-MX"/>
        </w:rPr>
        <w:t xml:space="preserve"> para su </w:t>
      </w:r>
      <w:r w:rsidR="002030A2">
        <w:rPr>
          <w:rFonts w:ascii="Arial" w:hAnsi="Arial" w:cs="Arial"/>
          <w:bCs/>
          <w:szCs w:val="20"/>
          <w:lang w:val="es-MX"/>
        </w:rPr>
        <w:t>traslado. Ésta abroga (suspende</w:t>
      </w:r>
      <w:r w:rsidRPr="00AA0F9E">
        <w:rPr>
          <w:rFonts w:ascii="Arial" w:hAnsi="Arial" w:cs="Arial"/>
          <w:bCs/>
          <w:szCs w:val="20"/>
          <w:lang w:val="es-MX"/>
        </w:rPr>
        <w:t xml:space="preserve"> o deja sin vigor) las Resoluciones SENASA Nro. 165/2013 y 234/2016.</w:t>
      </w:r>
    </w:p>
    <w:p w14:paraId="2DD0BFF7" w14:textId="6E5A10FA" w:rsidR="00ED5BA3" w:rsidRPr="00AA0F9E" w:rsidRDefault="00ED5BA3" w:rsidP="00AA0F9E">
      <w:pPr>
        <w:spacing w:line="360" w:lineRule="auto"/>
        <w:jc w:val="both"/>
        <w:rPr>
          <w:rFonts w:ascii="Arial" w:hAnsi="Arial" w:cs="Arial"/>
          <w:bCs/>
          <w:szCs w:val="20"/>
          <w:lang w:val="es-MX"/>
        </w:rPr>
      </w:pPr>
      <w:r>
        <w:rPr>
          <w:rFonts w:ascii="Arial" w:hAnsi="Arial" w:cs="Arial"/>
          <w:bCs/>
          <w:szCs w:val="20"/>
          <w:lang w:val="es-MX"/>
        </w:rPr>
        <w:t xml:space="preserve">La </w:t>
      </w:r>
      <w:r w:rsidRPr="00AA0F9E">
        <w:rPr>
          <w:rFonts w:ascii="Arial" w:hAnsi="Arial" w:cs="Arial"/>
          <w:bCs/>
          <w:szCs w:val="20"/>
          <w:lang w:val="es-MX"/>
        </w:rPr>
        <w:t xml:space="preserve">Resolución SENASA N° </w:t>
      </w:r>
      <w:r w:rsidR="006232CD">
        <w:rPr>
          <w:rFonts w:ascii="Arial" w:hAnsi="Arial" w:cs="Arial"/>
          <w:bCs/>
          <w:szCs w:val="20"/>
          <w:lang w:val="es-MX"/>
        </w:rPr>
        <w:t>875</w:t>
      </w:r>
      <w:r w:rsidRPr="00AA0F9E">
        <w:rPr>
          <w:rFonts w:ascii="Arial" w:hAnsi="Arial" w:cs="Arial"/>
          <w:bCs/>
          <w:szCs w:val="20"/>
          <w:lang w:val="es-MX"/>
        </w:rPr>
        <w:t>/2020</w:t>
      </w:r>
      <w:r w:rsidR="002030A2">
        <w:rPr>
          <w:rFonts w:ascii="Arial" w:hAnsi="Arial" w:cs="Arial"/>
          <w:bCs/>
          <w:szCs w:val="20"/>
          <w:lang w:val="es-MX"/>
        </w:rPr>
        <w:t xml:space="preserve"> se promulgo </w:t>
      </w:r>
      <w:r>
        <w:rPr>
          <w:rFonts w:ascii="Arial" w:hAnsi="Arial" w:cs="Arial"/>
          <w:bCs/>
          <w:szCs w:val="20"/>
          <w:lang w:val="es-MX"/>
        </w:rPr>
        <w:t>a través de un proceso de construcción colectiva y participativa con los actores público - privados de la cadena citrícola</w:t>
      </w:r>
      <w:r w:rsidR="002030A2">
        <w:rPr>
          <w:rFonts w:ascii="Arial" w:hAnsi="Arial" w:cs="Arial"/>
          <w:bCs/>
          <w:szCs w:val="20"/>
          <w:lang w:val="es-MX"/>
        </w:rPr>
        <w:t xml:space="preserve"> de la República Argentina</w:t>
      </w:r>
      <w:r>
        <w:rPr>
          <w:rFonts w:ascii="Arial" w:hAnsi="Arial" w:cs="Arial"/>
          <w:bCs/>
          <w:szCs w:val="20"/>
          <w:lang w:val="es-MX"/>
        </w:rPr>
        <w:t>.</w:t>
      </w:r>
    </w:p>
    <w:p w14:paraId="786E9619" w14:textId="2FA1DE1E" w:rsidR="00AA0F9E" w:rsidRPr="006F41E1" w:rsidRDefault="00AA0F9E" w:rsidP="006F41E1">
      <w:pPr>
        <w:pStyle w:val="Prrafodelista"/>
        <w:numPr>
          <w:ilvl w:val="0"/>
          <w:numId w:val="9"/>
        </w:numPr>
        <w:spacing w:line="360" w:lineRule="auto"/>
        <w:jc w:val="both"/>
        <w:rPr>
          <w:rFonts w:ascii="Arial" w:hAnsi="Arial" w:cs="Arial"/>
          <w:b/>
          <w:szCs w:val="20"/>
          <w:lang w:val="es-MX"/>
        </w:rPr>
      </w:pPr>
      <w:r w:rsidRPr="006F41E1">
        <w:rPr>
          <w:rFonts w:ascii="Arial" w:hAnsi="Arial" w:cs="Arial"/>
          <w:b/>
          <w:szCs w:val="20"/>
          <w:lang w:val="es-MX"/>
        </w:rPr>
        <w:t>¿Cómo se definen las áreas para el PNPHLB?</w:t>
      </w:r>
    </w:p>
    <w:p w14:paraId="47469C99" w14:textId="3B19FB82" w:rsidR="00D45752" w:rsidRDefault="00AA0F9E" w:rsidP="00AA0F9E">
      <w:pPr>
        <w:spacing w:line="360" w:lineRule="auto"/>
        <w:jc w:val="both"/>
        <w:rPr>
          <w:rFonts w:ascii="Arial" w:hAnsi="Arial" w:cs="Arial"/>
          <w:bCs/>
          <w:szCs w:val="20"/>
          <w:lang w:val="es-MX"/>
        </w:rPr>
      </w:pPr>
      <w:r w:rsidRPr="00AA0F9E">
        <w:rPr>
          <w:rFonts w:ascii="Arial" w:hAnsi="Arial" w:cs="Arial"/>
          <w:bCs/>
          <w:szCs w:val="20"/>
          <w:lang w:val="es-MX"/>
        </w:rPr>
        <w:t>Las áreas para el PNPHLB son definidas en función al resultado de las acciones de vigilancia fitosanitaria que se realizan en zonas urbanas, rurales y cultivos comerciales de cítricos en todas las zonas citrícolas de nuestro país. Estas actividades se desarrollan en conjunto con organismos públicos y privados.</w:t>
      </w:r>
    </w:p>
    <w:p w14:paraId="00EBFF2C" w14:textId="77777777" w:rsidR="00ED5BA3" w:rsidRPr="006F41E1" w:rsidRDefault="00ED5BA3" w:rsidP="006F41E1">
      <w:pPr>
        <w:pStyle w:val="Prrafodelista"/>
        <w:numPr>
          <w:ilvl w:val="0"/>
          <w:numId w:val="9"/>
        </w:numPr>
        <w:spacing w:line="360" w:lineRule="auto"/>
        <w:jc w:val="both"/>
        <w:rPr>
          <w:rFonts w:ascii="Arial" w:hAnsi="Arial" w:cs="Arial"/>
          <w:bCs/>
          <w:szCs w:val="20"/>
        </w:rPr>
      </w:pPr>
      <w:r w:rsidRPr="006F41E1">
        <w:rPr>
          <w:rFonts w:ascii="Arial" w:hAnsi="Arial" w:cs="Arial"/>
          <w:b/>
          <w:bCs/>
          <w:szCs w:val="20"/>
          <w:lang w:val="es-MX"/>
        </w:rPr>
        <w:t>¿Las áreas definidas pueden ser modificadas?</w:t>
      </w:r>
    </w:p>
    <w:p w14:paraId="6ED27CCC" w14:textId="7D254745" w:rsidR="00ED5BA3" w:rsidRDefault="00ED5BA3" w:rsidP="00ED5BA3">
      <w:pPr>
        <w:spacing w:line="360" w:lineRule="auto"/>
        <w:jc w:val="both"/>
        <w:rPr>
          <w:rFonts w:ascii="Arial" w:hAnsi="Arial" w:cs="Arial"/>
          <w:bCs/>
          <w:szCs w:val="20"/>
          <w:lang w:val="es-MX"/>
        </w:rPr>
      </w:pPr>
      <w:r w:rsidRPr="00ED5BA3">
        <w:rPr>
          <w:rFonts w:ascii="Arial" w:hAnsi="Arial" w:cs="Arial"/>
          <w:bCs/>
          <w:szCs w:val="20"/>
          <w:lang w:val="es-MX"/>
        </w:rPr>
        <w:t>Si. En función a los resultados de los monitoreos, las mismas están sujetas a modificaciones</w:t>
      </w:r>
      <w:r>
        <w:rPr>
          <w:rFonts w:ascii="Arial" w:hAnsi="Arial" w:cs="Arial"/>
          <w:bCs/>
          <w:szCs w:val="20"/>
          <w:lang w:val="es-MX"/>
        </w:rPr>
        <w:t>.</w:t>
      </w:r>
    </w:p>
    <w:p w14:paraId="16C9CCEE" w14:textId="77777777" w:rsidR="00ED5BA3" w:rsidRPr="006F41E1" w:rsidRDefault="00ED5BA3" w:rsidP="006F41E1">
      <w:pPr>
        <w:pStyle w:val="Prrafodelista"/>
        <w:numPr>
          <w:ilvl w:val="0"/>
          <w:numId w:val="9"/>
        </w:numPr>
        <w:spacing w:line="360" w:lineRule="auto"/>
        <w:jc w:val="both"/>
        <w:rPr>
          <w:rFonts w:ascii="Arial" w:hAnsi="Arial" w:cs="Arial"/>
          <w:bCs/>
          <w:szCs w:val="20"/>
        </w:rPr>
      </w:pPr>
      <w:r w:rsidRPr="006F41E1">
        <w:rPr>
          <w:rFonts w:ascii="Arial" w:hAnsi="Arial" w:cs="Arial"/>
          <w:b/>
          <w:bCs/>
          <w:szCs w:val="20"/>
          <w:lang w:val="es-MX"/>
        </w:rPr>
        <w:t>¿Qué ocurre con las provincias que no se encuentran en las áreas definidas para el PNPHLB?</w:t>
      </w:r>
    </w:p>
    <w:p w14:paraId="56C787B9" w14:textId="37C07DEB" w:rsidR="00ED5BA3" w:rsidRPr="00ED5BA3" w:rsidRDefault="00ED5BA3" w:rsidP="00ED5BA3">
      <w:pPr>
        <w:spacing w:line="360" w:lineRule="auto"/>
        <w:jc w:val="both"/>
        <w:rPr>
          <w:rFonts w:ascii="Arial" w:hAnsi="Arial" w:cs="Arial"/>
          <w:bCs/>
          <w:szCs w:val="20"/>
        </w:rPr>
      </w:pPr>
      <w:r w:rsidRPr="00ED5BA3">
        <w:rPr>
          <w:rFonts w:ascii="Arial" w:hAnsi="Arial" w:cs="Arial"/>
          <w:bCs/>
          <w:szCs w:val="20"/>
          <w:lang w:val="es-MX"/>
        </w:rPr>
        <w:t>La Resolución SENASA N°</w:t>
      </w:r>
      <w:r w:rsidR="006232CD">
        <w:rPr>
          <w:rFonts w:ascii="Arial" w:hAnsi="Arial" w:cs="Arial"/>
          <w:bCs/>
          <w:szCs w:val="20"/>
          <w:lang w:val="es-MX"/>
        </w:rPr>
        <w:t>875</w:t>
      </w:r>
      <w:r w:rsidRPr="00ED5BA3">
        <w:rPr>
          <w:rFonts w:ascii="Arial" w:hAnsi="Arial" w:cs="Arial"/>
          <w:bCs/>
          <w:szCs w:val="20"/>
          <w:lang w:val="es-MX"/>
        </w:rPr>
        <w:t xml:space="preserve"> / 2020 establece a todo el territorio nacional como ámbito de aplicación. Esto implica que todo el país representa el área reglamentada, donde los artículos reglamentados deben ser sujetos a Medidas de Mitigación de Riesgo Fitosanitario para su traslado.     </w:t>
      </w:r>
    </w:p>
    <w:p w14:paraId="67E7C51D" w14:textId="77777777" w:rsidR="00ED5BA3" w:rsidRDefault="00ED5BA3" w:rsidP="00ED5BA3">
      <w:pPr>
        <w:spacing w:line="360" w:lineRule="auto"/>
        <w:jc w:val="both"/>
        <w:rPr>
          <w:rFonts w:ascii="Arial" w:hAnsi="Arial" w:cs="Arial"/>
          <w:b/>
          <w:bCs/>
          <w:szCs w:val="20"/>
          <w:lang w:val="es-MX"/>
        </w:rPr>
      </w:pPr>
    </w:p>
    <w:p w14:paraId="03F275B9" w14:textId="3D00EF43" w:rsidR="00ED5BA3" w:rsidRPr="006F41E1" w:rsidRDefault="00ED5BA3" w:rsidP="006F41E1">
      <w:pPr>
        <w:pStyle w:val="Prrafodelista"/>
        <w:numPr>
          <w:ilvl w:val="0"/>
          <w:numId w:val="9"/>
        </w:numPr>
        <w:spacing w:line="360" w:lineRule="auto"/>
        <w:jc w:val="both"/>
        <w:rPr>
          <w:rFonts w:ascii="Arial" w:hAnsi="Arial" w:cs="Arial"/>
          <w:bCs/>
          <w:szCs w:val="20"/>
        </w:rPr>
      </w:pPr>
      <w:r w:rsidRPr="006F41E1">
        <w:rPr>
          <w:rFonts w:ascii="Arial" w:hAnsi="Arial" w:cs="Arial"/>
          <w:b/>
          <w:bCs/>
          <w:szCs w:val="20"/>
          <w:lang w:val="es-MX"/>
        </w:rPr>
        <w:lastRenderedPageBreak/>
        <w:t>¿Qué son los artículos reglamentados y como fueron definidos?</w:t>
      </w:r>
    </w:p>
    <w:p w14:paraId="079AF8B3" w14:textId="74590B35" w:rsidR="00ED5BA3" w:rsidRDefault="002030A2" w:rsidP="00ED5BA3">
      <w:pPr>
        <w:spacing w:line="360" w:lineRule="auto"/>
        <w:jc w:val="both"/>
        <w:rPr>
          <w:rFonts w:ascii="Arial" w:hAnsi="Arial" w:cs="Arial"/>
          <w:bCs/>
          <w:szCs w:val="20"/>
          <w:lang w:val="es-MX"/>
        </w:rPr>
      </w:pPr>
      <w:r>
        <w:rPr>
          <w:rFonts w:ascii="Arial" w:hAnsi="Arial" w:cs="Arial"/>
          <w:bCs/>
          <w:szCs w:val="20"/>
          <w:lang w:val="es-MX"/>
        </w:rPr>
        <w:t>L</w:t>
      </w:r>
      <w:r w:rsidRPr="00ED5BA3">
        <w:rPr>
          <w:rFonts w:ascii="Arial" w:hAnsi="Arial" w:cs="Arial"/>
          <w:bCs/>
          <w:szCs w:val="20"/>
          <w:lang w:val="es-MX"/>
        </w:rPr>
        <w:t xml:space="preserve">a fruta fresca cítrica sin proceso, la fruta fresca cítrica procesada, el material de propagación cítrico en clase fiscalizada y el Material de propagación hospedante de </w:t>
      </w:r>
      <w:proofErr w:type="spellStart"/>
      <w:r w:rsidRPr="00ED5BA3">
        <w:rPr>
          <w:rFonts w:ascii="Arial" w:hAnsi="Arial" w:cs="Arial"/>
          <w:bCs/>
          <w:i/>
          <w:iCs/>
          <w:szCs w:val="20"/>
          <w:lang w:val="es-MX"/>
        </w:rPr>
        <w:t>Candidat</w:t>
      </w:r>
      <w:r>
        <w:rPr>
          <w:rFonts w:ascii="Arial" w:hAnsi="Arial" w:cs="Arial"/>
          <w:bCs/>
          <w:i/>
          <w:iCs/>
          <w:szCs w:val="20"/>
          <w:lang w:val="es-MX"/>
        </w:rPr>
        <w:t>u</w:t>
      </w:r>
      <w:r w:rsidRPr="00ED5BA3">
        <w:rPr>
          <w:rFonts w:ascii="Arial" w:hAnsi="Arial" w:cs="Arial"/>
          <w:bCs/>
          <w:i/>
          <w:iCs/>
          <w:szCs w:val="20"/>
          <w:lang w:val="es-MX"/>
        </w:rPr>
        <w:t>s</w:t>
      </w:r>
      <w:proofErr w:type="spellEnd"/>
      <w:r w:rsidRPr="00ED5BA3">
        <w:rPr>
          <w:rFonts w:ascii="Arial" w:hAnsi="Arial" w:cs="Arial"/>
          <w:bCs/>
          <w:szCs w:val="20"/>
          <w:lang w:val="es-MX"/>
        </w:rPr>
        <w:t xml:space="preserve"> </w:t>
      </w:r>
      <w:proofErr w:type="spellStart"/>
      <w:r w:rsidRPr="00ED5BA3">
        <w:rPr>
          <w:rFonts w:ascii="Arial" w:hAnsi="Arial" w:cs="Arial"/>
          <w:bCs/>
          <w:szCs w:val="20"/>
          <w:lang w:val="es-MX"/>
        </w:rPr>
        <w:t>Liberibacter</w:t>
      </w:r>
      <w:proofErr w:type="spellEnd"/>
      <w:r w:rsidRPr="00ED5BA3">
        <w:rPr>
          <w:rFonts w:ascii="Arial" w:hAnsi="Arial" w:cs="Arial"/>
          <w:bCs/>
          <w:szCs w:val="20"/>
          <w:lang w:val="es-MX"/>
        </w:rPr>
        <w:t xml:space="preserve"> </w:t>
      </w:r>
      <w:proofErr w:type="spellStart"/>
      <w:r w:rsidRPr="00ED5BA3">
        <w:rPr>
          <w:rFonts w:ascii="Arial" w:hAnsi="Arial" w:cs="Arial"/>
          <w:bCs/>
          <w:szCs w:val="20"/>
          <w:lang w:val="es-MX"/>
        </w:rPr>
        <w:t>spp</w:t>
      </w:r>
      <w:proofErr w:type="spellEnd"/>
      <w:r w:rsidRPr="00ED5BA3">
        <w:rPr>
          <w:rFonts w:ascii="Arial" w:hAnsi="Arial" w:cs="Arial"/>
          <w:bCs/>
          <w:szCs w:val="20"/>
          <w:lang w:val="es-MX"/>
        </w:rPr>
        <w:t xml:space="preserve">. y/o </w:t>
      </w:r>
      <w:r w:rsidRPr="00ED5BA3">
        <w:rPr>
          <w:rFonts w:ascii="Arial" w:hAnsi="Arial" w:cs="Arial"/>
          <w:bCs/>
          <w:i/>
          <w:iCs/>
          <w:szCs w:val="20"/>
          <w:lang w:val="es-MX"/>
        </w:rPr>
        <w:t>Diaphorina citri</w:t>
      </w:r>
      <w:r w:rsidRPr="00ED5BA3">
        <w:rPr>
          <w:rFonts w:ascii="Arial" w:hAnsi="Arial" w:cs="Arial"/>
          <w:bCs/>
          <w:szCs w:val="20"/>
          <w:lang w:val="es-MX"/>
        </w:rPr>
        <w:t xml:space="preserve"> no fiscalizado </w:t>
      </w:r>
      <w:r>
        <w:rPr>
          <w:rFonts w:ascii="Arial" w:hAnsi="Arial" w:cs="Arial"/>
          <w:bCs/>
          <w:szCs w:val="20"/>
          <w:lang w:val="es-MX"/>
        </w:rPr>
        <w:t xml:space="preserve">fueron definidos </w:t>
      </w:r>
      <w:r w:rsidRPr="00ED5BA3">
        <w:rPr>
          <w:rFonts w:ascii="Arial" w:hAnsi="Arial" w:cs="Arial"/>
          <w:bCs/>
          <w:szCs w:val="20"/>
          <w:lang w:val="es-MX"/>
        </w:rPr>
        <w:t>como artículos reglamentados</w:t>
      </w:r>
      <w:r>
        <w:rPr>
          <w:rFonts w:ascii="Arial" w:hAnsi="Arial" w:cs="Arial"/>
          <w:bCs/>
          <w:szCs w:val="20"/>
          <w:lang w:val="es-MX"/>
        </w:rPr>
        <w:t xml:space="preserve">. </w:t>
      </w:r>
      <w:r w:rsidR="00ED5BA3" w:rsidRPr="00ED5BA3">
        <w:rPr>
          <w:rFonts w:ascii="Arial" w:hAnsi="Arial" w:cs="Arial"/>
          <w:bCs/>
          <w:szCs w:val="20"/>
          <w:lang w:val="es-MX"/>
        </w:rPr>
        <w:t>En función a su capacidad de albergar o dispersar el HLB y su vector, la Comisión Técnica Interinstitucional –CTI- (integrada por representantes del sector público y privado de las provincias con actividad citrícola y organismos públicos nacionales) identificó</w:t>
      </w:r>
      <w:r>
        <w:rPr>
          <w:rFonts w:ascii="Arial" w:hAnsi="Arial" w:cs="Arial"/>
          <w:bCs/>
          <w:szCs w:val="20"/>
          <w:lang w:val="es-MX"/>
        </w:rPr>
        <w:t xml:space="preserve"> y los artículos antes mencionados</w:t>
      </w:r>
      <w:r w:rsidR="00ED5BA3" w:rsidRPr="00ED5BA3">
        <w:rPr>
          <w:rFonts w:ascii="Arial" w:hAnsi="Arial" w:cs="Arial"/>
          <w:bCs/>
          <w:szCs w:val="20"/>
          <w:lang w:val="es-MX"/>
        </w:rPr>
        <w:t>.</w:t>
      </w:r>
      <w:r w:rsidR="00512090">
        <w:rPr>
          <w:rFonts w:ascii="Arial" w:hAnsi="Arial" w:cs="Arial"/>
          <w:bCs/>
          <w:szCs w:val="20"/>
          <w:lang w:val="es-MX"/>
        </w:rPr>
        <w:t xml:space="preserve"> </w:t>
      </w:r>
    </w:p>
    <w:p w14:paraId="55AE5A6A" w14:textId="77777777" w:rsidR="00ED5BA3" w:rsidRPr="006F41E1" w:rsidRDefault="00ED5BA3" w:rsidP="006F41E1">
      <w:pPr>
        <w:pStyle w:val="Prrafodelista"/>
        <w:numPr>
          <w:ilvl w:val="0"/>
          <w:numId w:val="9"/>
        </w:numPr>
        <w:spacing w:line="360" w:lineRule="auto"/>
        <w:jc w:val="both"/>
        <w:rPr>
          <w:rFonts w:ascii="Arial" w:hAnsi="Arial" w:cs="Arial"/>
          <w:bCs/>
          <w:szCs w:val="20"/>
        </w:rPr>
      </w:pPr>
      <w:r w:rsidRPr="006F41E1">
        <w:rPr>
          <w:rFonts w:ascii="Arial" w:hAnsi="Arial" w:cs="Arial"/>
          <w:b/>
          <w:bCs/>
          <w:szCs w:val="20"/>
          <w:lang w:val="es-MX"/>
        </w:rPr>
        <w:t>¿Qué son las medidas de mitigación de riesgo fitosanitarias (MMRF)? ¿Cómo fueron definidas?</w:t>
      </w:r>
    </w:p>
    <w:p w14:paraId="7798AD74" w14:textId="0EC55B7C" w:rsidR="00ED5BA3" w:rsidRDefault="00ED5BA3" w:rsidP="00ED5BA3">
      <w:pPr>
        <w:spacing w:line="360" w:lineRule="auto"/>
        <w:jc w:val="both"/>
        <w:rPr>
          <w:rFonts w:ascii="Arial" w:hAnsi="Arial" w:cs="Arial"/>
          <w:bCs/>
          <w:szCs w:val="20"/>
          <w:lang w:val="es-MX"/>
        </w:rPr>
      </w:pPr>
      <w:r w:rsidRPr="00ED5BA3">
        <w:rPr>
          <w:rFonts w:ascii="Arial" w:hAnsi="Arial" w:cs="Arial"/>
          <w:bCs/>
          <w:szCs w:val="20"/>
          <w:lang w:val="es-MX"/>
        </w:rPr>
        <w:t>Son una serie de medidas, que permiten mitigar el riesgo de dispersión del HLB y su vector durante el traslado de los artículos reglamentados. Al igual que los artículos reglamentados, las MMRF que se aplican en cada caso, fueron definidas en el marco de la CTI en función a</w:t>
      </w:r>
      <w:r w:rsidR="002030A2">
        <w:rPr>
          <w:rFonts w:ascii="Arial" w:hAnsi="Arial" w:cs="Arial"/>
          <w:bCs/>
          <w:szCs w:val="20"/>
          <w:lang w:val="es-MX"/>
        </w:rPr>
        <w:t>l consenso mayoritario</w:t>
      </w:r>
      <w:r w:rsidRPr="00ED5BA3">
        <w:rPr>
          <w:rFonts w:ascii="Arial" w:hAnsi="Arial" w:cs="Arial"/>
          <w:bCs/>
          <w:szCs w:val="20"/>
          <w:lang w:val="es-MX"/>
        </w:rPr>
        <w:t>.</w:t>
      </w:r>
    </w:p>
    <w:p w14:paraId="5982CA82" w14:textId="670FD6A0" w:rsidR="00512090" w:rsidRPr="00512090" w:rsidRDefault="00512090" w:rsidP="00512090">
      <w:pPr>
        <w:pStyle w:val="Prrafodelista"/>
        <w:numPr>
          <w:ilvl w:val="0"/>
          <w:numId w:val="9"/>
        </w:numPr>
        <w:spacing w:line="360" w:lineRule="auto"/>
        <w:jc w:val="both"/>
        <w:rPr>
          <w:rFonts w:ascii="Arial" w:hAnsi="Arial" w:cs="Arial"/>
          <w:b/>
          <w:bCs/>
          <w:szCs w:val="20"/>
          <w:lang w:val="es-MX"/>
        </w:rPr>
      </w:pPr>
      <w:r w:rsidRPr="00512090">
        <w:rPr>
          <w:rFonts w:ascii="Arial" w:hAnsi="Arial" w:cs="Arial"/>
          <w:b/>
          <w:bCs/>
          <w:szCs w:val="20"/>
          <w:lang w:val="es-MX"/>
        </w:rPr>
        <w:t>¿</w:t>
      </w:r>
      <w:r>
        <w:rPr>
          <w:rFonts w:ascii="Arial" w:hAnsi="Arial" w:cs="Arial"/>
          <w:b/>
          <w:bCs/>
          <w:szCs w:val="20"/>
          <w:lang w:val="es-MX"/>
        </w:rPr>
        <w:t>El</w:t>
      </w:r>
      <w:r w:rsidRPr="00512090">
        <w:rPr>
          <w:rFonts w:ascii="Arial" w:hAnsi="Arial" w:cs="Arial"/>
          <w:b/>
          <w:bCs/>
          <w:szCs w:val="20"/>
          <w:lang w:val="es-MX"/>
        </w:rPr>
        <w:t xml:space="preserve"> traslado de un artículo reglamentado</w:t>
      </w:r>
      <w:r>
        <w:rPr>
          <w:rFonts w:ascii="Arial" w:hAnsi="Arial" w:cs="Arial"/>
          <w:b/>
          <w:bCs/>
          <w:szCs w:val="20"/>
          <w:lang w:val="es-MX"/>
        </w:rPr>
        <w:t xml:space="preserve"> requiere </w:t>
      </w:r>
      <w:proofErr w:type="spellStart"/>
      <w:r>
        <w:rPr>
          <w:rFonts w:ascii="Arial" w:hAnsi="Arial" w:cs="Arial"/>
          <w:b/>
          <w:bCs/>
          <w:szCs w:val="20"/>
          <w:lang w:val="es-MX"/>
        </w:rPr>
        <w:t>DTVe</w:t>
      </w:r>
      <w:proofErr w:type="spellEnd"/>
      <w:r w:rsidRPr="00512090">
        <w:rPr>
          <w:rFonts w:ascii="Arial" w:hAnsi="Arial" w:cs="Arial"/>
          <w:b/>
          <w:bCs/>
          <w:szCs w:val="20"/>
          <w:lang w:val="es-MX"/>
        </w:rPr>
        <w:t>?</w:t>
      </w:r>
    </w:p>
    <w:p w14:paraId="3B267655" w14:textId="5A8B4291" w:rsidR="00512090" w:rsidRPr="00512090" w:rsidRDefault="00512090" w:rsidP="00512090">
      <w:pPr>
        <w:spacing w:line="360" w:lineRule="auto"/>
        <w:jc w:val="both"/>
        <w:rPr>
          <w:rFonts w:ascii="Arial" w:hAnsi="Arial" w:cs="Arial"/>
          <w:bCs/>
          <w:szCs w:val="20"/>
          <w:lang w:val="es-MX"/>
        </w:rPr>
      </w:pPr>
      <w:r>
        <w:rPr>
          <w:rFonts w:ascii="Arial" w:hAnsi="Arial" w:cs="Arial"/>
          <w:bCs/>
          <w:szCs w:val="20"/>
          <w:lang w:val="es-MX"/>
        </w:rPr>
        <w:t xml:space="preserve">Si. El documento de Transito Sanitario Vegetal electrónico tiene carácter de declaración jurada. Este ampara el traslado del artículo trasladado. </w:t>
      </w:r>
    </w:p>
    <w:p w14:paraId="580CC215" w14:textId="47EE9B5D" w:rsidR="00ED5BA3" w:rsidRPr="006F41E1" w:rsidRDefault="00ED5BA3" w:rsidP="006F41E1">
      <w:pPr>
        <w:pStyle w:val="Prrafodelista"/>
        <w:numPr>
          <w:ilvl w:val="0"/>
          <w:numId w:val="9"/>
        </w:numPr>
        <w:spacing w:line="360" w:lineRule="auto"/>
        <w:jc w:val="both"/>
        <w:rPr>
          <w:rFonts w:ascii="Arial" w:hAnsi="Arial" w:cs="Arial"/>
          <w:bCs/>
          <w:szCs w:val="20"/>
        </w:rPr>
      </w:pPr>
      <w:r w:rsidRPr="006F41E1">
        <w:rPr>
          <w:rFonts w:ascii="Arial" w:hAnsi="Arial" w:cs="Arial"/>
          <w:b/>
          <w:bCs/>
          <w:szCs w:val="20"/>
          <w:lang w:val="es-MX"/>
        </w:rPr>
        <w:t>¿Cómo reconozco qu</w:t>
      </w:r>
      <w:r w:rsidR="0070306B">
        <w:rPr>
          <w:rFonts w:ascii="Arial" w:hAnsi="Arial" w:cs="Arial"/>
          <w:b/>
          <w:bCs/>
          <w:szCs w:val="20"/>
          <w:lang w:val="es-MX"/>
        </w:rPr>
        <w:t>é</w:t>
      </w:r>
      <w:r w:rsidRPr="006F41E1">
        <w:rPr>
          <w:rFonts w:ascii="Arial" w:hAnsi="Arial" w:cs="Arial"/>
          <w:b/>
          <w:bCs/>
          <w:szCs w:val="20"/>
          <w:lang w:val="es-MX"/>
        </w:rPr>
        <w:t xml:space="preserve"> MMRF se aplica a cada movimiento de un artículo reglamentado?</w:t>
      </w:r>
    </w:p>
    <w:p w14:paraId="5CD3076D" w14:textId="673F60AA" w:rsidR="00ED5BA3" w:rsidRDefault="00ED5BA3" w:rsidP="00ED5BA3">
      <w:pPr>
        <w:spacing w:line="360" w:lineRule="auto"/>
        <w:jc w:val="both"/>
        <w:rPr>
          <w:rFonts w:ascii="Arial" w:hAnsi="Arial" w:cs="Arial"/>
          <w:bCs/>
          <w:szCs w:val="20"/>
        </w:rPr>
      </w:pPr>
      <w:r w:rsidRPr="00ED5BA3">
        <w:rPr>
          <w:rFonts w:ascii="Arial" w:hAnsi="Arial" w:cs="Arial"/>
          <w:bCs/>
          <w:szCs w:val="20"/>
          <w:lang w:val="es-MX"/>
        </w:rPr>
        <w:t xml:space="preserve">Las MMRF establecidas para cada movimiento de artículo reglamentado se encuentran descritas en la Resolución SENASA N° </w:t>
      </w:r>
      <w:r w:rsidR="006232CD">
        <w:rPr>
          <w:rFonts w:ascii="Arial" w:hAnsi="Arial" w:cs="Arial"/>
          <w:bCs/>
          <w:szCs w:val="20"/>
          <w:lang w:val="es-MX"/>
        </w:rPr>
        <w:t>875</w:t>
      </w:r>
      <w:r w:rsidRPr="00ED5BA3">
        <w:rPr>
          <w:rFonts w:ascii="Arial" w:hAnsi="Arial" w:cs="Arial"/>
          <w:bCs/>
          <w:szCs w:val="20"/>
          <w:lang w:val="es-MX"/>
        </w:rPr>
        <w:t xml:space="preserve">/2020. Estas varían en función al artículo reglamentado, su origen y destino. </w:t>
      </w:r>
    </w:p>
    <w:p w14:paraId="1D3197B2" w14:textId="275C9500" w:rsidR="00ED5BA3" w:rsidRPr="00ED5BA3" w:rsidRDefault="00ED5BA3" w:rsidP="00ED5BA3">
      <w:pPr>
        <w:spacing w:line="360" w:lineRule="auto"/>
        <w:jc w:val="both"/>
        <w:rPr>
          <w:rFonts w:ascii="Arial" w:hAnsi="Arial" w:cs="Arial"/>
          <w:bCs/>
          <w:szCs w:val="20"/>
        </w:rPr>
      </w:pPr>
      <w:r w:rsidRPr="00ED5BA3">
        <w:rPr>
          <w:rFonts w:ascii="Arial" w:hAnsi="Arial" w:cs="Arial"/>
          <w:bCs/>
          <w:szCs w:val="20"/>
          <w:lang w:val="es-MX"/>
        </w:rPr>
        <w:t xml:space="preserve">En </w:t>
      </w:r>
      <w:hyperlink r:id="rId8" w:history="1">
        <w:r w:rsidRPr="00ED5BA3">
          <w:rPr>
            <w:rStyle w:val="Hipervnculo"/>
            <w:rFonts w:ascii="Arial" w:hAnsi="Arial" w:cs="Arial"/>
            <w:b/>
            <w:bCs/>
            <w:i/>
            <w:iCs/>
            <w:szCs w:val="20"/>
            <w:lang w:val="es-MX"/>
          </w:rPr>
          <w:t>https://www.argentina.gob.ar/senasa/micrositios/hlb</w:t>
        </w:r>
      </w:hyperlink>
      <w:r w:rsidRPr="00ED5BA3">
        <w:rPr>
          <w:rFonts w:ascii="Arial" w:hAnsi="Arial" w:cs="Arial"/>
          <w:b/>
          <w:bCs/>
          <w:i/>
          <w:iCs/>
          <w:szCs w:val="20"/>
          <w:lang w:val="es-MX"/>
        </w:rPr>
        <w:t xml:space="preserve"> </w:t>
      </w:r>
      <w:r w:rsidRPr="00ED5BA3">
        <w:rPr>
          <w:rFonts w:ascii="Arial" w:hAnsi="Arial" w:cs="Arial"/>
          <w:bCs/>
          <w:szCs w:val="20"/>
          <w:lang w:val="es-MX"/>
        </w:rPr>
        <w:t xml:space="preserve">se encuentra el Instructivo “Medidas de Mitigación de Riesgo Fitosanitario para el traslado de los artículos reglamentados”, donde conforme lo define el artículo 6° de la Resolución SENASA N° </w:t>
      </w:r>
      <w:r w:rsidR="006232CD">
        <w:rPr>
          <w:rFonts w:ascii="Arial" w:hAnsi="Arial" w:cs="Arial"/>
          <w:bCs/>
          <w:szCs w:val="20"/>
          <w:lang w:val="es-MX"/>
        </w:rPr>
        <w:t>875</w:t>
      </w:r>
      <w:r w:rsidRPr="00ED5BA3">
        <w:rPr>
          <w:rFonts w:ascii="Arial" w:hAnsi="Arial" w:cs="Arial"/>
          <w:bCs/>
          <w:szCs w:val="20"/>
          <w:lang w:val="es-MX"/>
        </w:rPr>
        <w:t>/2020, se actualizan las medidas que este organismo estime conveniente.</w:t>
      </w:r>
    </w:p>
    <w:p w14:paraId="3C42ED4F" w14:textId="6CA57B25" w:rsidR="00ED5BA3" w:rsidRPr="006F41E1" w:rsidRDefault="00ED5BA3" w:rsidP="006F41E1">
      <w:pPr>
        <w:pStyle w:val="Prrafodelista"/>
        <w:numPr>
          <w:ilvl w:val="0"/>
          <w:numId w:val="9"/>
        </w:numPr>
        <w:spacing w:line="360" w:lineRule="auto"/>
        <w:jc w:val="both"/>
        <w:rPr>
          <w:rFonts w:ascii="Arial" w:hAnsi="Arial" w:cs="Arial"/>
          <w:bCs/>
          <w:szCs w:val="20"/>
        </w:rPr>
      </w:pPr>
      <w:r w:rsidRPr="006F41E1">
        <w:rPr>
          <w:rFonts w:ascii="Arial" w:hAnsi="Arial" w:cs="Arial"/>
          <w:b/>
          <w:bCs/>
          <w:szCs w:val="20"/>
          <w:lang w:val="es-MX"/>
        </w:rPr>
        <w:t>¿Qué debo tener en cuenta a la hora de trasladar fruta fresca cítrica procesada?</w:t>
      </w:r>
    </w:p>
    <w:p w14:paraId="6E96B1DC" w14:textId="4BBC0813" w:rsidR="00ED5BA3" w:rsidRPr="00ED5BA3" w:rsidRDefault="00ED5BA3" w:rsidP="00ED5BA3">
      <w:pPr>
        <w:spacing w:line="360" w:lineRule="auto"/>
        <w:jc w:val="both"/>
        <w:rPr>
          <w:rFonts w:ascii="Arial" w:hAnsi="Arial" w:cs="Arial"/>
          <w:bCs/>
          <w:szCs w:val="20"/>
        </w:rPr>
      </w:pPr>
      <w:r w:rsidRPr="00ED5BA3">
        <w:rPr>
          <w:rFonts w:ascii="Arial" w:hAnsi="Arial" w:cs="Arial"/>
          <w:bCs/>
          <w:szCs w:val="20"/>
          <w:lang w:val="es-MX"/>
        </w:rPr>
        <w:t>La fruta fresca cítrica procesada</w:t>
      </w:r>
      <w:r w:rsidR="002030A2">
        <w:rPr>
          <w:rFonts w:ascii="Arial" w:hAnsi="Arial" w:cs="Arial"/>
          <w:bCs/>
          <w:szCs w:val="20"/>
          <w:lang w:val="es-MX"/>
        </w:rPr>
        <w:t>,</w:t>
      </w:r>
      <w:r w:rsidRPr="00ED5BA3">
        <w:rPr>
          <w:rFonts w:ascii="Arial" w:hAnsi="Arial" w:cs="Arial"/>
          <w:bCs/>
          <w:szCs w:val="20"/>
          <w:lang w:val="es-MX"/>
        </w:rPr>
        <w:t xml:space="preserve"> en establecimientos habilitados sanitariamente para realizar el procesamiento de la misma</w:t>
      </w:r>
      <w:r w:rsidR="002030A2">
        <w:rPr>
          <w:rFonts w:ascii="Arial" w:hAnsi="Arial" w:cs="Arial"/>
          <w:bCs/>
          <w:szCs w:val="20"/>
          <w:lang w:val="es-MX"/>
        </w:rPr>
        <w:t>,</w:t>
      </w:r>
      <w:r w:rsidRPr="00ED5BA3">
        <w:rPr>
          <w:rFonts w:ascii="Arial" w:hAnsi="Arial" w:cs="Arial"/>
          <w:bCs/>
          <w:szCs w:val="20"/>
          <w:lang w:val="es-MX"/>
        </w:rPr>
        <w:t xml:space="preserve"> y transportada en envases habilitados por la DNICA del SENASA, se encuentra exenta de la aplicación de MMRF.</w:t>
      </w:r>
    </w:p>
    <w:p w14:paraId="26322DAC" w14:textId="244BF8D2" w:rsidR="00ED5BA3" w:rsidRDefault="00ED5BA3" w:rsidP="00ED5BA3">
      <w:pPr>
        <w:spacing w:line="360" w:lineRule="auto"/>
        <w:jc w:val="both"/>
        <w:rPr>
          <w:rFonts w:ascii="Arial" w:hAnsi="Arial" w:cs="Arial"/>
          <w:bCs/>
          <w:szCs w:val="20"/>
          <w:lang w:val="es-MX"/>
        </w:rPr>
      </w:pPr>
      <w:r w:rsidRPr="00ED5BA3">
        <w:rPr>
          <w:rFonts w:ascii="Arial" w:hAnsi="Arial" w:cs="Arial"/>
          <w:bCs/>
          <w:szCs w:val="20"/>
          <w:lang w:val="es-MX"/>
        </w:rPr>
        <w:lastRenderedPageBreak/>
        <w:t xml:space="preserve">En caso de trasladar fruta fresca cítrica procesada que aún no ha recibido el grado de selección definido en la Res. </w:t>
      </w:r>
      <w:proofErr w:type="spellStart"/>
      <w:r w:rsidRPr="00ED5BA3">
        <w:rPr>
          <w:rFonts w:ascii="Arial" w:hAnsi="Arial" w:cs="Arial"/>
          <w:bCs/>
          <w:szCs w:val="20"/>
          <w:lang w:val="es-MX"/>
        </w:rPr>
        <w:t>SAyG</w:t>
      </w:r>
      <w:proofErr w:type="spellEnd"/>
      <w:r w:rsidRPr="00ED5BA3">
        <w:rPr>
          <w:rFonts w:ascii="Arial" w:hAnsi="Arial" w:cs="Arial"/>
          <w:bCs/>
          <w:szCs w:val="20"/>
          <w:lang w:val="es-MX"/>
        </w:rPr>
        <w:t xml:space="preserve"> N° 145/1983 y sus modificatorias, debe ser trasladada sujeta a MMRF (Cobertura total de la carga y Soga única) y con el correspondiente DTV-e con intervención de SENASA</w:t>
      </w:r>
      <w:r w:rsidR="002030A2">
        <w:rPr>
          <w:rFonts w:ascii="Arial" w:hAnsi="Arial" w:cs="Arial"/>
          <w:bCs/>
          <w:szCs w:val="20"/>
          <w:lang w:val="es-MX"/>
        </w:rPr>
        <w:t xml:space="preserve"> en origen y destino</w:t>
      </w:r>
      <w:r w:rsidRPr="00ED5BA3">
        <w:rPr>
          <w:rFonts w:ascii="Arial" w:hAnsi="Arial" w:cs="Arial"/>
          <w:bCs/>
          <w:szCs w:val="20"/>
          <w:lang w:val="es-MX"/>
        </w:rPr>
        <w:t>, quien certifica el proceso y precinta la carga.</w:t>
      </w:r>
    </w:p>
    <w:p w14:paraId="2BDBC840" w14:textId="0FD4FA0C" w:rsidR="002F2637" w:rsidRPr="002F2637" w:rsidRDefault="002F2637" w:rsidP="002F2637">
      <w:pPr>
        <w:spacing w:line="360" w:lineRule="auto"/>
        <w:ind w:left="708"/>
        <w:jc w:val="both"/>
        <w:rPr>
          <w:rFonts w:ascii="Arial" w:hAnsi="Arial" w:cs="Arial"/>
          <w:b/>
          <w:szCs w:val="20"/>
          <w:lang w:val="es-MX"/>
        </w:rPr>
      </w:pPr>
      <w:r>
        <w:rPr>
          <w:rFonts w:ascii="Arial" w:hAnsi="Arial" w:cs="Arial"/>
          <w:b/>
          <w:szCs w:val="20"/>
          <w:lang w:val="es-MX"/>
        </w:rPr>
        <w:t xml:space="preserve">11. </w:t>
      </w:r>
      <w:r w:rsidRPr="002F2637">
        <w:rPr>
          <w:rFonts w:ascii="Arial" w:hAnsi="Arial" w:cs="Arial"/>
          <w:b/>
          <w:szCs w:val="20"/>
          <w:lang w:val="es-MX"/>
        </w:rPr>
        <w:t>¿Qué movimientos de fruta fresca cítrica requieren intervención del SENASA en el DTV-e?</w:t>
      </w:r>
    </w:p>
    <w:p w14:paraId="299DF7F9" w14:textId="3736F564" w:rsidR="002F2637" w:rsidRPr="002F2637" w:rsidRDefault="002F2637" w:rsidP="002F2637">
      <w:pPr>
        <w:spacing w:line="360" w:lineRule="auto"/>
        <w:jc w:val="both"/>
        <w:rPr>
          <w:rFonts w:ascii="Arial" w:hAnsi="Arial" w:cs="Arial"/>
          <w:bCs/>
          <w:szCs w:val="20"/>
          <w:lang w:val="es-MX"/>
        </w:rPr>
      </w:pPr>
      <w:r w:rsidRPr="002F2637">
        <w:rPr>
          <w:rFonts w:ascii="Arial" w:hAnsi="Arial" w:cs="Arial"/>
          <w:bCs/>
          <w:szCs w:val="20"/>
          <w:lang w:val="es-MX"/>
        </w:rPr>
        <w:t xml:space="preserve">Movimientos de Empaque-Empaque (motivo “empaque”) y Empaque-Industria (motivo “industrialización”) requieren la intervención del SENASA para garantizar </w:t>
      </w:r>
      <w:r>
        <w:rPr>
          <w:rFonts w:ascii="Arial" w:hAnsi="Arial" w:cs="Arial"/>
          <w:bCs/>
          <w:szCs w:val="20"/>
          <w:lang w:val="es-MX"/>
        </w:rPr>
        <w:t>el cumplimiento d</w:t>
      </w:r>
      <w:r w:rsidRPr="002F2637">
        <w:rPr>
          <w:rFonts w:ascii="Arial" w:hAnsi="Arial" w:cs="Arial"/>
          <w:bCs/>
          <w:szCs w:val="20"/>
          <w:lang w:val="es-MX"/>
        </w:rPr>
        <w:t>el procesamiento de la fruta, tanto en el origen como en el destino (art. 9 Res. SENASA N° 875/2020).</w:t>
      </w:r>
    </w:p>
    <w:p w14:paraId="2C3ED231" w14:textId="77777777" w:rsidR="002F2637" w:rsidRPr="002F2637" w:rsidRDefault="002F2637" w:rsidP="002F2637">
      <w:pPr>
        <w:spacing w:line="360" w:lineRule="auto"/>
        <w:jc w:val="both"/>
        <w:rPr>
          <w:rFonts w:ascii="Arial" w:hAnsi="Arial" w:cs="Arial"/>
          <w:bCs/>
          <w:szCs w:val="20"/>
          <w:lang w:val="es-MX"/>
        </w:rPr>
      </w:pPr>
      <w:r w:rsidRPr="002F2637">
        <w:rPr>
          <w:rFonts w:ascii="Arial" w:hAnsi="Arial" w:cs="Arial"/>
          <w:bCs/>
          <w:szCs w:val="20"/>
          <w:lang w:val="es-MX"/>
        </w:rPr>
        <w:t xml:space="preserve">Se suman a éstos, los movimientos de fruta fresca cítrica sin proceso definidos en el ap. IV del art. 10, de la Res. </w:t>
      </w:r>
      <w:proofErr w:type="spellStart"/>
      <w:r w:rsidRPr="002F2637">
        <w:rPr>
          <w:rFonts w:ascii="Arial" w:hAnsi="Arial" w:cs="Arial"/>
          <w:bCs/>
          <w:szCs w:val="20"/>
          <w:lang w:val="es-MX"/>
        </w:rPr>
        <w:t>Senasa</w:t>
      </w:r>
      <w:proofErr w:type="spellEnd"/>
      <w:r w:rsidRPr="002F2637">
        <w:rPr>
          <w:rFonts w:ascii="Arial" w:hAnsi="Arial" w:cs="Arial"/>
          <w:bCs/>
          <w:szCs w:val="20"/>
          <w:lang w:val="es-MX"/>
        </w:rPr>
        <w:t xml:space="preserve"> N° 875/2020.</w:t>
      </w:r>
    </w:p>
    <w:p w14:paraId="01126743" w14:textId="497A6048" w:rsidR="002F2637" w:rsidRPr="002F2637" w:rsidRDefault="002F2637" w:rsidP="002F2637">
      <w:pPr>
        <w:spacing w:line="360" w:lineRule="auto"/>
        <w:ind w:left="360"/>
        <w:jc w:val="both"/>
        <w:rPr>
          <w:rFonts w:ascii="Arial" w:hAnsi="Arial" w:cs="Arial"/>
          <w:b/>
          <w:szCs w:val="20"/>
          <w:lang w:val="es-MX"/>
        </w:rPr>
      </w:pPr>
      <w:r>
        <w:rPr>
          <w:rFonts w:ascii="Arial" w:hAnsi="Arial" w:cs="Arial"/>
          <w:b/>
          <w:szCs w:val="20"/>
          <w:lang w:val="es-MX"/>
        </w:rPr>
        <w:t xml:space="preserve">12. </w:t>
      </w:r>
      <w:r w:rsidRPr="002F2637">
        <w:rPr>
          <w:rFonts w:ascii="Arial" w:hAnsi="Arial" w:cs="Arial"/>
          <w:b/>
          <w:szCs w:val="20"/>
          <w:lang w:val="es-MX"/>
        </w:rPr>
        <w:t>Si deseo enviar fruta fresca cítrica desde un empaque hacia otro empaque ¿qué motivo debo incluir en el DTV-e?</w:t>
      </w:r>
    </w:p>
    <w:p w14:paraId="3A10376D" w14:textId="5BEA6C20" w:rsidR="002F2637" w:rsidRPr="002F2637" w:rsidRDefault="002F2637" w:rsidP="002F2637">
      <w:pPr>
        <w:pStyle w:val="Prrafodelista"/>
        <w:numPr>
          <w:ilvl w:val="0"/>
          <w:numId w:val="12"/>
        </w:numPr>
        <w:spacing w:line="360" w:lineRule="auto"/>
        <w:jc w:val="both"/>
        <w:rPr>
          <w:rFonts w:ascii="Arial" w:hAnsi="Arial" w:cs="Arial"/>
          <w:bCs/>
          <w:szCs w:val="20"/>
          <w:lang w:val="es-MX"/>
        </w:rPr>
      </w:pPr>
      <w:r w:rsidRPr="002F2637">
        <w:rPr>
          <w:rFonts w:ascii="Arial" w:hAnsi="Arial" w:cs="Arial"/>
          <w:b/>
          <w:szCs w:val="20"/>
          <w:lang w:val="es-MX"/>
        </w:rPr>
        <w:t>Procesamiento</w:t>
      </w:r>
      <w:r>
        <w:rPr>
          <w:rFonts w:ascii="Arial" w:hAnsi="Arial" w:cs="Arial"/>
          <w:b/>
          <w:szCs w:val="20"/>
          <w:lang w:val="es-MX"/>
        </w:rPr>
        <w:t>:</w:t>
      </w:r>
      <w:r w:rsidRPr="002F2637">
        <w:rPr>
          <w:rFonts w:ascii="Arial" w:hAnsi="Arial" w:cs="Arial"/>
          <w:bCs/>
          <w:szCs w:val="20"/>
          <w:lang w:val="es-MX"/>
        </w:rPr>
        <w:t xml:space="preserve"> si el artículo a trasladar es fruta fresca cítrica sin proceso</w:t>
      </w:r>
      <w:r>
        <w:rPr>
          <w:rFonts w:ascii="Arial" w:hAnsi="Arial" w:cs="Arial"/>
          <w:bCs/>
          <w:szCs w:val="20"/>
          <w:lang w:val="es-MX"/>
        </w:rPr>
        <w:t>, n</w:t>
      </w:r>
      <w:r w:rsidRPr="002F2637">
        <w:rPr>
          <w:rFonts w:ascii="Arial" w:hAnsi="Arial" w:cs="Arial"/>
          <w:bCs/>
          <w:szCs w:val="20"/>
          <w:lang w:val="es-MX"/>
        </w:rPr>
        <w:t>o requiere intervención del SENASA</w:t>
      </w:r>
      <w:r>
        <w:rPr>
          <w:rFonts w:ascii="Arial" w:hAnsi="Arial" w:cs="Arial"/>
          <w:bCs/>
          <w:szCs w:val="20"/>
          <w:lang w:val="es-MX"/>
        </w:rPr>
        <w:t>.</w:t>
      </w:r>
    </w:p>
    <w:p w14:paraId="1B2B3262" w14:textId="2EEC976E" w:rsidR="002F2637" w:rsidRPr="002F2637" w:rsidRDefault="002F2637" w:rsidP="002F2637">
      <w:pPr>
        <w:pStyle w:val="Prrafodelista"/>
        <w:numPr>
          <w:ilvl w:val="0"/>
          <w:numId w:val="12"/>
        </w:numPr>
        <w:spacing w:line="360" w:lineRule="auto"/>
        <w:jc w:val="both"/>
        <w:rPr>
          <w:rFonts w:ascii="Arial" w:hAnsi="Arial" w:cs="Arial"/>
          <w:bCs/>
          <w:szCs w:val="20"/>
          <w:lang w:val="es-MX"/>
        </w:rPr>
      </w:pPr>
      <w:r w:rsidRPr="002F2637">
        <w:rPr>
          <w:rFonts w:ascii="Arial" w:hAnsi="Arial" w:cs="Arial"/>
          <w:b/>
          <w:szCs w:val="20"/>
          <w:lang w:val="es-MX"/>
        </w:rPr>
        <w:t xml:space="preserve">Comercialización </w:t>
      </w:r>
      <w:r w:rsidRPr="002F2637">
        <w:rPr>
          <w:rFonts w:ascii="Arial" w:hAnsi="Arial" w:cs="Arial"/>
          <w:bCs/>
          <w:szCs w:val="20"/>
          <w:lang w:val="es-MX"/>
        </w:rPr>
        <w:t>si el artículo a trasladar</w:t>
      </w:r>
      <w:r w:rsidRPr="002F2637">
        <w:rPr>
          <w:rFonts w:ascii="Arial" w:hAnsi="Arial" w:cs="Arial"/>
          <w:bCs/>
          <w:szCs w:val="20"/>
          <w:lang w:val="es-MX"/>
        </w:rPr>
        <w:t xml:space="preserve"> </w:t>
      </w:r>
      <w:r>
        <w:rPr>
          <w:rFonts w:ascii="Arial" w:hAnsi="Arial" w:cs="Arial"/>
          <w:bCs/>
          <w:szCs w:val="20"/>
          <w:lang w:val="es-MX"/>
        </w:rPr>
        <w:t>es f</w:t>
      </w:r>
      <w:r w:rsidRPr="002F2637">
        <w:rPr>
          <w:rFonts w:ascii="Arial" w:hAnsi="Arial" w:cs="Arial"/>
          <w:bCs/>
          <w:szCs w:val="20"/>
          <w:lang w:val="es-MX"/>
        </w:rPr>
        <w:t xml:space="preserve">ruta </w:t>
      </w:r>
      <w:r>
        <w:rPr>
          <w:rFonts w:ascii="Arial" w:hAnsi="Arial" w:cs="Arial"/>
          <w:bCs/>
          <w:szCs w:val="20"/>
          <w:lang w:val="es-MX"/>
        </w:rPr>
        <w:t xml:space="preserve">fresca cítrica </w:t>
      </w:r>
      <w:r w:rsidRPr="002F2637">
        <w:rPr>
          <w:rFonts w:ascii="Arial" w:hAnsi="Arial" w:cs="Arial"/>
          <w:bCs/>
          <w:szCs w:val="20"/>
          <w:lang w:val="es-MX"/>
        </w:rPr>
        <w:t>procesada con sello clave</w:t>
      </w:r>
      <w:r>
        <w:rPr>
          <w:rFonts w:ascii="Arial" w:hAnsi="Arial" w:cs="Arial"/>
          <w:bCs/>
          <w:szCs w:val="20"/>
          <w:lang w:val="es-MX"/>
        </w:rPr>
        <w:t>, n</w:t>
      </w:r>
      <w:r w:rsidRPr="002F2637">
        <w:rPr>
          <w:rFonts w:ascii="Arial" w:hAnsi="Arial" w:cs="Arial"/>
          <w:bCs/>
          <w:szCs w:val="20"/>
          <w:lang w:val="es-MX"/>
        </w:rPr>
        <w:t>o requiere intervención del SENASA</w:t>
      </w:r>
      <w:r>
        <w:rPr>
          <w:rFonts w:ascii="Arial" w:hAnsi="Arial" w:cs="Arial"/>
          <w:bCs/>
          <w:szCs w:val="20"/>
          <w:lang w:val="es-MX"/>
        </w:rPr>
        <w:t>.</w:t>
      </w:r>
    </w:p>
    <w:p w14:paraId="63389A1D" w14:textId="4C744692" w:rsidR="002F2637" w:rsidRPr="002F2637" w:rsidRDefault="002F2637" w:rsidP="002F2637">
      <w:pPr>
        <w:pStyle w:val="Prrafodelista"/>
        <w:numPr>
          <w:ilvl w:val="0"/>
          <w:numId w:val="12"/>
        </w:numPr>
        <w:spacing w:line="360" w:lineRule="auto"/>
        <w:jc w:val="both"/>
        <w:rPr>
          <w:rFonts w:ascii="Arial" w:hAnsi="Arial" w:cs="Arial"/>
          <w:bCs/>
          <w:szCs w:val="20"/>
          <w:lang w:val="es-MX"/>
        </w:rPr>
      </w:pPr>
      <w:r w:rsidRPr="002F2637">
        <w:rPr>
          <w:rFonts w:ascii="Arial" w:hAnsi="Arial" w:cs="Arial"/>
          <w:b/>
          <w:szCs w:val="20"/>
          <w:lang w:val="es-MX"/>
        </w:rPr>
        <w:t>Consolidación</w:t>
      </w:r>
      <w:r w:rsidRPr="002F2637">
        <w:rPr>
          <w:rFonts w:ascii="Arial" w:hAnsi="Arial" w:cs="Arial"/>
          <w:bCs/>
          <w:szCs w:val="20"/>
          <w:lang w:val="es-MX"/>
        </w:rPr>
        <w:t xml:space="preserve"> si el artículo a trasladar </w:t>
      </w:r>
      <w:r>
        <w:rPr>
          <w:rFonts w:ascii="Arial" w:hAnsi="Arial" w:cs="Arial"/>
          <w:bCs/>
          <w:szCs w:val="20"/>
          <w:lang w:val="es-MX"/>
        </w:rPr>
        <w:t>es f</w:t>
      </w:r>
      <w:r w:rsidRPr="002F2637">
        <w:rPr>
          <w:rFonts w:ascii="Arial" w:hAnsi="Arial" w:cs="Arial"/>
          <w:bCs/>
          <w:szCs w:val="20"/>
          <w:lang w:val="es-MX"/>
        </w:rPr>
        <w:t xml:space="preserve">ruta </w:t>
      </w:r>
      <w:r>
        <w:rPr>
          <w:rFonts w:ascii="Arial" w:hAnsi="Arial" w:cs="Arial"/>
          <w:bCs/>
          <w:szCs w:val="20"/>
          <w:lang w:val="es-MX"/>
        </w:rPr>
        <w:t xml:space="preserve">fresca cítrica </w:t>
      </w:r>
      <w:r w:rsidRPr="002F2637">
        <w:rPr>
          <w:rFonts w:ascii="Arial" w:hAnsi="Arial" w:cs="Arial"/>
          <w:bCs/>
          <w:szCs w:val="20"/>
          <w:lang w:val="es-MX"/>
        </w:rPr>
        <w:t>procesada</w:t>
      </w:r>
      <w:r w:rsidRPr="002F2637">
        <w:rPr>
          <w:rFonts w:ascii="Arial" w:hAnsi="Arial" w:cs="Arial"/>
          <w:bCs/>
          <w:szCs w:val="20"/>
          <w:lang w:val="es-MX"/>
        </w:rPr>
        <w:t xml:space="preserve"> </w:t>
      </w:r>
      <w:r w:rsidRPr="002F2637">
        <w:rPr>
          <w:rFonts w:ascii="Arial" w:hAnsi="Arial" w:cs="Arial"/>
          <w:bCs/>
          <w:szCs w:val="20"/>
          <w:lang w:val="es-MX"/>
        </w:rPr>
        <w:t>con sello clave</w:t>
      </w:r>
      <w:r w:rsidR="00C2180B">
        <w:rPr>
          <w:rFonts w:ascii="Arial" w:hAnsi="Arial" w:cs="Arial"/>
          <w:bCs/>
          <w:szCs w:val="20"/>
          <w:lang w:val="es-MX"/>
        </w:rPr>
        <w:t>, n</w:t>
      </w:r>
      <w:r w:rsidRPr="002F2637">
        <w:rPr>
          <w:rFonts w:ascii="Arial" w:hAnsi="Arial" w:cs="Arial"/>
          <w:bCs/>
          <w:szCs w:val="20"/>
          <w:lang w:val="es-MX"/>
        </w:rPr>
        <w:t>o requiere intervención del SENASA</w:t>
      </w:r>
      <w:r w:rsidR="00C2180B">
        <w:rPr>
          <w:rFonts w:ascii="Arial" w:hAnsi="Arial" w:cs="Arial"/>
          <w:bCs/>
          <w:szCs w:val="20"/>
          <w:lang w:val="es-MX"/>
        </w:rPr>
        <w:t>.</w:t>
      </w:r>
    </w:p>
    <w:p w14:paraId="119568A2" w14:textId="2EA631F1" w:rsidR="002F2637" w:rsidRDefault="002F2637" w:rsidP="00ED5BA3">
      <w:pPr>
        <w:pStyle w:val="Prrafodelista"/>
        <w:numPr>
          <w:ilvl w:val="0"/>
          <w:numId w:val="12"/>
        </w:numPr>
        <w:spacing w:line="360" w:lineRule="auto"/>
        <w:jc w:val="both"/>
        <w:rPr>
          <w:rFonts w:ascii="Arial" w:hAnsi="Arial" w:cs="Arial"/>
          <w:bCs/>
          <w:szCs w:val="20"/>
          <w:lang w:val="es-MX"/>
        </w:rPr>
      </w:pPr>
      <w:r w:rsidRPr="002F2637">
        <w:rPr>
          <w:rFonts w:ascii="Arial" w:hAnsi="Arial" w:cs="Arial"/>
          <w:b/>
          <w:szCs w:val="20"/>
          <w:lang w:val="es-MX"/>
        </w:rPr>
        <w:t>Empaque</w:t>
      </w:r>
      <w:r w:rsidRPr="002F2637">
        <w:rPr>
          <w:rFonts w:ascii="Arial" w:hAnsi="Arial" w:cs="Arial"/>
          <w:bCs/>
          <w:szCs w:val="20"/>
          <w:lang w:val="es-MX"/>
        </w:rPr>
        <w:t xml:space="preserve"> </w:t>
      </w:r>
      <w:r w:rsidR="00C2180B">
        <w:rPr>
          <w:rFonts w:ascii="Arial" w:hAnsi="Arial" w:cs="Arial"/>
          <w:bCs/>
          <w:szCs w:val="20"/>
          <w:lang w:val="es-MX"/>
        </w:rPr>
        <w:t>Si el artículo a trasladar es</w:t>
      </w:r>
      <w:r w:rsidRPr="002F2637">
        <w:rPr>
          <w:rFonts w:ascii="Arial" w:hAnsi="Arial" w:cs="Arial"/>
          <w:bCs/>
          <w:szCs w:val="20"/>
          <w:lang w:val="es-MX"/>
        </w:rPr>
        <w:t xml:space="preserve"> fruta </w:t>
      </w:r>
      <w:r w:rsidR="00C2180B">
        <w:rPr>
          <w:rFonts w:ascii="Arial" w:hAnsi="Arial" w:cs="Arial"/>
          <w:bCs/>
          <w:szCs w:val="20"/>
          <w:lang w:val="es-MX"/>
        </w:rPr>
        <w:t xml:space="preserve">fresca cítrica procesada </w:t>
      </w:r>
      <w:r w:rsidRPr="00C2180B">
        <w:rPr>
          <w:rFonts w:ascii="Arial" w:hAnsi="Arial" w:cs="Arial"/>
          <w:bCs/>
          <w:szCs w:val="20"/>
          <w:u w:val="single"/>
          <w:lang w:val="es-MX"/>
        </w:rPr>
        <w:t>sin grado de selección</w:t>
      </w:r>
      <w:r w:rsidR="00C2180B">
        <w:rPr>
          <w:rFonts w:ascii="Arial" w:hAnsi="Arial" w:cs="Arial"/>
          <w:bCs/>
          <w:szCs w:val="20"/>
          <w:lang w:val="es-MX"/>
        </w:rPr>
        <w:t xml:space="preserve"> y </w:t>
      </w:r>
      <w:r w:rsidRPr="002F2637">
        <w:rPr>
          <w:rFonts w:ascii="Arial" w:hAnsi="Arial" w:cs="Arial"/>
          <w:bCs/>
          <w:szCs w:val="20"/>
          <w:lang w:val="es-MX"/>
        </w:rPr>
        <w:t xml:space="preserve">que </w:t>
      </w:r>
      <w:r w:rsidR="00C2180B">
        <w:rPr>
          <w:rFonts w:ascii="Arial" w:hAnsi="Arial" w:cs="Arial"/>
          <w:bCs/>
          <w:szCs w:val="20"/>
          <w:lang w:val="es-MX"/>
        </w:rPr>
        <w:t>el proceso de empacado se realizará en otro establecimiento (empaque),</w:t>
      </w:r>
      <w:r w:rsidRPr="002F2637">
        <w:rPr>
          <w:rFonts w:ascii="Arial" w:hAnsi="Arial" w:cs="Arial"/>
          <w:bCs/>
          <w:szCs w:val="20"/>
          <w:lang w:val="es-MX"/>
        </w:rPr>
        <w:t xml:space="preserve"> </w:t>
      </w:r>
      <w:r w:rsidR="00C2180B">
        <w:rPr>
          <w:rFonts w:ascii="Arial" w:hAnsi="Arial" w:cs="Arial"/>
          <w:bCs/>
          <w:szCs w:val="20"/>
          <w:lang w:val="es-MX"/>
        </w:rPr>
        <w:t>r</w:t>
      </w:r>
      <w:r w:rsidRPr="002F2637">
        <w:rPr>
          <w:rFonts w:ascii="Arial" w:hAnsi="Arial" w:cs="Arial"/>
          <w:bCs/>
          <w:szCs w:val="20"/>
          <w:lang w:val="es-MX"/>
        </w:rPr>
        <w:t>equiere intervención del SENASA</w:t>
      </w:r>
      <w:r w:rsidR="00C2180B">
        <w:rPr>
          <w:rFonts w:ascii="Arial" w:hAnsi="Arial" w:cs="Arial"/>
          <w:bCs/>
          <w:szCs w:val="20"/>
          <w:lang w:val="es-MX"/>
        </w:rPr>
        <w:t xml:space="preserve"> en origen y en destino.</w:t>
      </w:r>
    </w:p>
    <w:p w14:paraId="38D6C896" w14:textId="77777777" w:rsidR="00C2180B" w:rsidRPr="00C2180B" w:rsidRDefault="00C2180B" w:rsidP="00C2180B">
      <w:pPr>
        <w:pStyle w:val="Prrafodelista"/>
        <w:spacing w:line="360" w:lineRule="auto"/>
        <w:jc w:val="both"/>
        <w:rPr>
          <w:rFonts w:ascii="Arial" w:hAnsi="Arial" w:cs="Arial"/>
          <w:bCs/>
          <w:szCs w:val="20"/>
          <w:lang w:val="es-MX"/>
        </w:rPr>
      </w:pPr>
    </w:p>
    <w:p w14:paraId="0608463E" w14:textId="5628C239" w:rsidR="00ED5BA3" w:rsidRPr="002F2637" w:rsidRDefault="002F2637" w:rsidP="002F2637">
      <w:pPr>
        <w:spacing w:line="360" w:lineRule="auto"/>
        <w:ind w:left="360"/>
        <w:jc w:val="both"/>
        <w:rPr>
          <w:rFonts w:ascii="Arial" w:hAnsi="Arial" w:cs="Arial"/>
          <w:bCs/>
          <w:szCs w:val="20"/>
        </w:rPr>
      </w:pPr>
      <w:r>
        <w:rPr>
          <w:rFonts w:ascii="Arial" w:hAnsi="Arial" w:cs="Arial"/>
          <w:b/>
          <w:bCs/>
          <w:szCs w:val="20"/>
          <w:lang w:val="es-MX"/>
        </w:rPr>
        <w:t xml:space="preserve">13. </w:t>
      </w:r>
      <w:r w:rsidR="00ED5BA3" w:rsidRPr="002F2637">
        <w:rPr>
          <w:rFonts w:ascii="Arial" w:hAnsi="Arial" w:cs="Arial"/>
          <w:b/>
          <w:bCs/>
          <w:szCs w:val="20"/>
          <w:lang w:val="es-MX"/>
        </w:rPr>
        <w:t>¿Qué significa realizar “tránsito por otra de las áreas”?</w:t>
      </w:r>
    </w:p>
    <w:p w14:paraId="067B5F44" w14:textId="5BA9EDE8" w:rsidR="00ED5BA3" w:rsidRPr="00ED5BA3" w:rsidRDefault="00ED5BA3" w:rsidP="00ED5BA3">
      <w:pPr>
        <w:spacing w:line="360" w:lineRule="auto"/>
        <w:jc w:val="both"/>
        <w:rPr>
          <w:rFonts w:ascii="Arial" w:hAnsi="Arial" w:cs="Arial"/>
          <w:bCs/>
          <w:szCs w:val="20"/>
        </w:rPr>
      </w:pPr>
      <w:r w:rsidRPr="00ED5BA3">
        <w:rPr>
          <w:rFonts w:ascii="Arial" w:hAnsi="Arial" w:cs="Arial"/>
          <w:bCs/>
          <w:szCs w:val="20"/>
          <w:lang w:val="es-MX"/>
        </w:rPr>
        <w:t xml:space="preserve">Un movimiento realiza tránsito por otra de las áreas, cuando el origen y el destino del mismo pertenecen a la misma área definida, </w:t>
      </w:r>
      <w:r w:rsidR="002030A2">
        <w:rPr>
          <w:rFonts w:ascii="Arial" w:hAnsi="Arial" w:cs="Arial"/>
          <w:bCs/>
          <w:szCs w:val="20"/>
          <w:lang w:val="es-MX"/>
        </w:rPr>
        <w:t xml:space="preserve">pero </w:t>
      </w:r>
      <w:r w:rsidRPr="00ED5BA3">
        <w:rPr>
          <w:rFonts w:ascii="Arial" w:hAnsi="Arial" w:cs="Arial"/>
          <w:bCs/>
          <w:szCs w:val="20"/>
          <w:lang w:val="es-MX"/>
        </w:rPr>
        <w:t>en el trayecto atraviesa un área de diferente condición.</w:t>
      </w:r>
    </w:p>
    <w:p w14:paraId="550BA6D3" w14:textId="2EA3C2E3" w:rsidR="00ED5BA3" w:rsidRPr="002F2637" w:rsidRDefault="002F2637" w:rsidP="002F2637">
      <w:pPr>
        <w:spacing w:line="360" w:lineRule="auto"/>
        <w:ind w:left="360"/>
        <w:jc w:val="both"/>
        <w:rPr>
          <w:rFonts w:ascii="Arial" w:hAnsi="Arial" w:cs="Arial"/>
          <w:bCs/>
          <w:szCs w:val="20"/>
        </w:rPr>
      </w:pPr>
      <w:r>
        <w:rPr>
          <w:rFonts w:ascii="Arial" w:hAnsi="Arial" w:cs="Arial"/>
          <w:b/>
          <w:bCs/>
          <w:szCs w:val="20"/>
          <w:lang w:val="es-MX"/>
        </w:rPr>
        <w:t xml:space="preserve">14. </w:t>
      </w:r>
      <w:r w:rsidR="00ED5BA3" w:rsidRPr="002F2637">
        <w:rPr>
          <w:rFonts w:ascii="Arial" w:hAnsi="Arial" w:cs="Arial"/>
          <w:b/>
          <w:bCs/>
          <w:szCs w:val="20"/>
          <w:lang w:val="es-MX"/>
        </w:rPr>
        <w:t>¿Es posible enviar fruta fresca cítrica sin proceso y material de propagación cítrico al Área Protegida de HLB?</w:t>
      </w:r>
    </w:p>
    <w:p w14:paraId="3B0BC020" w14:textId="40654136" w:rsidR="00ED5BA3" w:rsidRPr="00ED5BA3" w:rsidRDefault="00ED5BA3" w:rsidP="00ED5BA3">
      <w:pPr>
        <w:spacing w:line="360" w:lineRule="auto"/>
        <w:jc w:val="both"/>
        <w:rPr>
          <w:rFonts w:ascii="Arial" w:hAnsi="Arial" w:cs="Arial"/>
          <w:bCs/>
          <w:szCs w:val="20"/>
        </w:rPr>
      </w:pPr>
      <w:r w:rsidRPr="002030A2">
        <w:rPr>
          <w:rFonts w:ascii="Arial" w:hAnsi="Arial" w:cs="Arial"/>
          <w:b/>
          <w:bCs/>
          <w:szCs w:val="20"/>
          <w:lang w:val="es-MX"/>
        </w:rPr>
        <w:lastRenderedPageBreak/>
        <w:t>NO</w:t>
      </w:r>
      <w:r w:rsidRPr="00ED5BA3">
        <w:rPr>
          <w:rFonts w:ascii="Arial" w:hAnsi="Arial" w:cs="Arial"/>
          <w:bCs/>
          <w:szCs w:val="20"/>
          <w:lang w:val="es-MX"/>
        </w:rPr>
        <w:t>. Se prohíbe el ingreso de fruta fresca cítrica sin proceso y de material de propagación de todos los hospederos del HLB y su vector al Área Protegida de HLB, establecida en la Res. SENASA N° 449/2016 y sus modificatorias.</w:t>
      </w:r>
    </w:p>
    <w:p w14:paraId="0D8CBD99" w14:textId="33432737" w:rsidR="00ED5BA3" w:rsidRPr="002F2637" w:rsidRDefault="002F2637" w:rsidP="002F2637">
      <w:pPr>
        <w:spacing w:line="360" w:lineRule="auto"/>
        <w:ind w:left="360"/>
        <w:jc w:val="both"/>
        <w:rPr>
          <w:rFonts w:ascii="Arial" w:hAnsi="Arial" w:cs="Arial"/>
          <w:bCs/>
          <w:szCs w:val="20"/>
        </w:rPr>
      </w:pPr>
      <w:r>
        <w:rPr>
          <w:rFonts w:ascii="Arial" w:hAnsi="Arial" w:cs="Arial"/>
          <w:b/>
          <w:bCs/>
          <w:szCs w:val="20"/>
          <w:lang w:val="es-MX"/>
        </w:rPr>
        <w:t xml:space="preserve">15. </w:t>
      </w:r>
      <w:r w:rsidR="00ED5BA3" w:rsidRPr="002F2637">
        <w:rPr>
          <w:rFonts w:ascii="Arial" w:hAnsi="Arial" w:cs="Arial"/>
          <w:b/>
          <w:bCs/>
          <w:szCs w:val="20"/>
          <w:lang w:val="es-MX"/>
        </w:rPr>
        <w:t>¿Qué ocurre con las provincias que se encuentran en el Área Protegida de HLB?</w:t>
      </w:r>
    </w:p>
    <w:p w14:paraId="6B524A94" w14:textId="77777777" w:rsidR="00ED5BA3" w:rsidRPr="00ED5BA3" w:rsidRDefault="00ED5BA3" w:rsidP="00ED5BA3">
      <w:pPr>
        <w:spacing w:line="360" w:lineRule="auto"/>
        <w:jc w:val="both"/>
        <w:rPr>
          <w:rFonts w:ascii="Arial" w:hAnsi="Arial" w:cs="Arial"/>
          <w:bCs/>
          <w:szCs w:val="20"/>
        </w:rPr>
      </w:pPr>
      <w:r w:rsidRPr="00ED5BA3">
        <w:rPr>
          <w:rFonts w:ascii="Arial" w:hAnsi="Arial" w:cs="Arial"/>
          <w:bCs/>
          <w:szCs w:val="20"/>
          <w:lang w:val="es-MX"/>
        </w:rPr>
        <w:t xml:space="preserve">El movimiento de los artículos reglamentados dentro del área protegida de HLB y hacia el resto del territorio nacional, se encuentran sujetos a las MMRF definidas según sea el origen (Área libre de HLB con presencia de </w:t>
      </w:r>
      <w:r w:rsidRPr="0070306B">
        <w:rPr>
          <w:rFonts w:ascii="Arial" w:hAnsi="Arial" w:cs="Arial"/>
          <w:bCs/>
          <w:i/>
          <w:iCs/>
          <w:szCs w:val="20"/>
          <w:lang w:val="es-MX"/>
        </w:rPr>
        <w:t>D. citri</w:t>
      </w:r>
      <w:r w:rsidRPr="00ED5BA3">
        <w:rPr>
          <w:rFonts w:ascii="Arial" w:hAnsi="Arial" w:cs="Arial"/>
          <w:bCs/>
          <w:szCs w:val="20"/>
          <w:lang w:val="es-MX"/>
        </w:rPr>
        <w:t xml:space="preserve"> – provincias de Salta y Jujuy - y/o Área libre de HLB y de </w:t>
      </w:r>
      <w:r w:rsidRPr="00ED5BA3">
        <w:rPr>
          <w:rFonts w:ascii="Arial" w:hAnsi="Arial" w:cs="Arial"/>
          <w:bCs/>
          <w:i/>
          <w:iCs/>
          <w:szCs w:val="20"/>
          <w:lang w:val="es-MX"/>
        </w:rPr>
        <w:t xml:space="preserve">D. citri </w:t>
      </w:r>
      <w:r w:rsidRPr="00ED5BA3">
        <w:rPr>
          <w:rFonts w:ascii="Arial" w:hAnsi="Arial" w:cs="Arial"/>
          <w:bCs/>
          <w:szCs w:val="20"/>
          <w:lang w:val="es-MX"/>
        </w:rPr>
        <w:t>– provincias de Tucumán y Catamarca-) y el destino del movimiento. En cuanto al material de propagación cítrico en clase fiscalizada, deben dar cumplimiento a las MMRF previstas.</w:t>
      </w:r>
    </w:p>
    <w:p w14:paraId="1F967A38" w14:textId="39610A24" w:rsidR="00ED5BA3" w:rsidRPr="002F2637" w:rsidRDefault="002F2637" w:rsidP="002F2637">
      <w:pPr>
        <w:spacing w:line="360" w:lineRule="auto"/>
        <w:ind w:left="360"/>
        <w:jc w:val="both"/>
        <w:rPr>
          <w:rFonts w:ascii="Arial" w:hAnsi="Arial" w:cs="Arial"/>
          <w:bCs/>
          <w:szCs w:val="20"/>
        </w:rPr>
      </w:pPr>
      <w:r>
        <w:rPr>
          <w:rFonts w:ascii="Arial" w:hAnsi="Arial" w:cs="Arial"/>
          <w:b/>
          <w:bCs/>
          <w:szCs w:val="20"/>
          <w:lang w:val="es-MX"/>
        </w:rPr>
        <w:t xml:space="preserve">16. </w:t>
      </w:r>
      <w:r w:rsidR="00ED5BA3" w:rsidRPr="002F2637">
        <w:rPr>
          <w:rFonts w:ascii="Arial" w:hAnsi="Arial" w:cs="Arial"/>
          <w:b/>
          <w:bCs/>
          <w:szCs w:val="20"/>
          <w:lang w:val="es-MX"/>
        </w:rPr>
        <w:t xml:space="preserve">¿Qué ocurre con los movimientos de fruta fresca cítrica sin proceso desde Áreas Bajo Cuarentena y Áreas Libres de HLB con presencia de </w:t>
      </w:r>
      <w:r w:rsidR="00ED5BA3" w:rsidRPr="002F2637">
        <w:rPr>
          <w:rFonts w:ascii="Arial" w:hAnsi="Arial" w:cs="Arial"/>
          <w:b/>
          <w:bCs/>
          <w:i/>
          <w:iCs/>
          <w:szCs w:val="20"/>
          <w:lang w:val="es-MX"/>
        </w:rPr>
        <w:t xml:space="preserve">D. </w:t>
      </w:r>
      <w:proofErr w:type="gramStart"/>
      <w:r w:rsidR="00ED5BA3" w:rsidRPr="002F2637">
        <w:rPr>
          <w:rFonts w:ascii="Arial" w:hAnsi="Arial" w:cs="Arial"/>
          <w:b/>
          <w:bCs/>
          <w:i/>
          <w:iCs/>
          <w:szCs w:val="20"/>
          <w:lang w:val="es-MX"/>
        </w:rPr>
        <w:t>citri</w:t>
      </w:r>
      <w:r w:rsidR="00ED5BA3" w:rsidRPr="002F2637">
        <w:rPr>
          <w:rFonts w:ascii="Arial" w:hAnsi="Arial" w:cs="Arial"/>
          <w:b/>
          <w:bCs/>
          <w:szCs w:val="20"/>
          <w:lang w:val="es-MX"/>
        </w:rPr>
        <w:t xml:space="preserve">  hacia</w:t>
      </w:r>
      <w:proofErr w:type="gramEnd"/>
      <w:r w:rsidR="00ED5BA3" w:rsidRPr="002F2637">
        <w:rPr>
          <w:rFonts w:ascii="Arial" w:hAnsi="Arial" w:cs="Arial"/>
          <w:b/>
          <w:bCs/>
          <w:szCs w:val="20"/>
          <w:lang w:val="es-MX"/>
        </w:rPr>
        <w:t xml:space="preserve"> empaques y/o industrias del Área libre de HLB y </w:t>
      </w:r>
      <w:r w:rsidR="00ED5BA3" w:rsidRPr="002F2637">
        <w:rPr>
          <w:rFonts w:ascii="Arial" w:hAnsi="Arial" w:cs="Arial"/>
          <w:b/>
          <w:bCs/>
          <w:i/>
          <w:iCs/>
          <w:szCs w:val="20"/>
          <w:lang w:val="es-MX"/>
        </w:rPr>
        <w:t>D. citri</w:t>
      </w:r>
      <w:r w:rsidR="00ED5BA3" w:rsidRPr="002F2637">
        <w:rPr>
          <w:rFonts w:ascii="Arial" w:hAnsi="Arial" w:cs="Arial"/>
          <w:b/>
          <w:bCs/>
          <w:szCs w:val="20"/>
          <w:lang w:val="es-MX"/>
        </w:rPr>
        <w:t>?</w:t>
      </w:r>
    </w:p>
    <w:p w14:paraId="6ADB6AB7" w14:textId="3EC700AB" w:rsidR="00ED5BA3" w:rsidRDefault="00ED5BA3" w:rsidP="00ED5BA3">
      <w:pPr>
        <w:spacing w:line="360" w:lineRule="auto"/>
        <w:jc w:val="both"/>
        <w:rPr>
          <w:rFonts w:ascii="Arial" w:hAnsi="Arial" w:cs="Arial"/>
          <w:bCs/>
          <w:szCs w:val="20"/>
          <w:lang w:val="es-MX"/>
        </w:rPr>
      </w:pPr>
      <w:r w:rsidRPr="00ED5BA3">
        <w:rPr>
          <w:rFonts w:ascii="Arial" w:hAnsi="Arial" w:cs="Arial"/>
          <w:bCs/>
          <w:szCs w:val="20"/>
          <w:lang w:val="es-MX"/>
        </w:rPr>
        <w:t>Estos movimientos se encuentran sujetos a análisis por parte de la DNPV</w:t>
      </w:r>
      <w:r w:rsidR="00586CC7">
        <w:rPr>
          <w:rFonts w:ascii="Arial" w:hAnsi="Arial" w:cs="Arial"/>
          <w:bCs/>
          <w:szCs w:val="20"/>
          <w:lang w:val="es-MX"/>
        </w:rPr>
        <w:t>, por lo que se tramitan y autorizan de manera individual.</w:t>
      </w:r>
    </w:p>
    <w:p w14:paraId="7722686F" w14:textId="45E3F61D" w:rsidR="00ED5BA3" w:rsidRPr="002030A2" w:rsidRDefault="00ED5BA3" w:rsidP="00ED5BA3">
      <w:pPr>
        <w:spacing w:line="360" w:lineRule="auto"/>
        <w:jc w:val="both"/>
        <w:rPr>
          <w:rFonts w:ascii="Arial" w:hAnsi="Arial" w:cs="Arial"/>
          <w:bCs/>
          <w:i/>
          <w:szCs w:val="20"/>
          <w:lang w:val="es-MX"/>
        </w:rPr>
      </w:pPr>
      <w:r w:rsidRPr="002030A2">
        <w:rPr>
          <w:rFonts w:ascii="Arial" w:hAnsi="Arial" w:cs="Arial"/>
          <w:bCs/>
          <w:i/>
          <w:szCs w:val="20"/>
          <w:lang w:val="es-MX"/>
        </w:rPr>
        <w:t xml:space="preserve">Las previsiones definidas en la abrogada Res. SENASA 234/2016, se encuentran reglamentadas en el art. 10 inciso b) Apartado IV de la Res. SENASA N° </w:t>
      </w:r>
      <w:r w:rsidR="006232CD" w:rsidRPr="002030A2">
        <w:rPr>
          <w:rFonts w:ascii="Arial" w:hAnsi="Arial" w:cs="Arial"/>
          <w:bCs/>
          <w:i/>
          <w:szCs w:val="20"/>
          <w:lang w:val="es-MX"/>
        </w:rPr>
        <w:t>875</w:t>
      </w:r>
      <w:r w:rsidRPr="002030A2">
        <w:rPr>
          <w:rFonts w:ascii="Arial" w:hAnsi="Arial" w:cs="Arial"/>
          <w:bCs/>
          <w:i/>
          <w:szCs w:val="20"/>
          <w:lang w:val="es-MX"/>
        </w:rPr>
        <w:t>/2020.</w:t>
      </w:r>
    </w:p>
    <w:p w14:paraId="0F48E179" w14:textId="7EC183CC" w:rsidR="00586CC7" w:rsidRPr="002F2637" w:rsidRDefault="002F2637" w:rsidP="002F2637">
      <w:pPr>
        <w:spacing w:line="360" w:lineRule="auto"/>
        <w:ind w:left="360"/>
        <w:jc w:val="both"/>
        <w:rPr>
          <w:rFonts w:ascii="Arial" w:hAnsi="Arial" w:cs="Arial"/>
          <w:b/>
          <w:bCs/>
          <w:szCs w:val="20"/>
          <w:lang w:val="es-MX"/>
        </w:rPr>
      </w:pPr>
      <w:r>
        <w:rPr>
          <w:rFonts w:ascii="Arial" w:hAnsi="Arial" w:cs="Arial"/>
          <w:b/>
          <w:bCs/>
          <w:szCs w:val="20"/>
          <w:lang w:val="es-MX"/>
        </w:rPr>
        <w:t xml:space="preserve">17. </w:t>
      </w:r>
      <w:r w:rsidR="00586CC7" w:rsidRPr="002F2637">
        <w:rPr>
          <w:rFonts w:ascii="Arial" w:hAnsi="Arial" w:cs="Arial"/>
          <w:b/>
          <w:bCs/>
          <w:szCs w:val="20"/>
          <w:lang w:val="es-MX"/>
        </w:rPr>
        <w:t xml:space="preserve">Soy un productor citrícola ubicado en un Áreas Bajo Cuarentena y/o en un Área Libre de HLB con presencia de </w:t>
      </w:r>
      <w:r w:rsidR="00586CC7" w:rsidRPr="002F2637">
        <w:rPr>
          <w:rFonts w:ascii="Arial" w:hAnsi="Arial" w:cs="Arial"/>
          <w:b/>
          <w:bCs/>
          <w:i/>
          <w:iCs/>
          <w:szCs w:val="20"/>
          <w:lang w:val="es-MX"/>
        </w:rPr>
        <w:t>D. citri</w:t>
      </w:r>
      <w:r w:rsidR="00586CC7" w:rsidRPr="002F2637">
        <w:rPr>
          <w:rFonts w:ascii="Arial" w:hAnsi="Arial" w:cs="Arial"/>
          <w:b/>
          <w:bCs/>
          <w:szCs w:val="20"/>
          <w:lang w:val="es-MX"/>
        </w:rPr>
        <w:t xml:space="preserve">… ¿Puedo enviar mi producción a un empaque o industria de un Área libre de HLB y </w:t>
      </w:r>
      <w:r w:rsidR="00586CC7" w:rsidRPr="002F2637">
        <w:rPr>
          <w:rFonts w:ascii="Arial" w:hAnsi="Arial" w:cs="Arial"/>
          <w:b/>
          <w:bCs/>
          <w:i/>
          <w:iCs/>
          <w:szCs w:val="20"/>
          <w:lang w:val="es-MX"/>
        </w:rPr>
        <w:t>D. citri</w:t>
      </w:r>
      <w:r w:rsidR="00586CC7" w:rsidRPr="002F2637">
        <w:rPr>
          <w:rFonts w:ascii="Arial" w:hAnsi="Arial" w:cs="Arial"/>
          <w:b/>
          <w:bCs/>
          <w:szCs w:val="20"/>
          <w:lang w:val="es-MX"/>
        </w:rPr>
        <w:t>?</w:t>
      </w:r>
    </w:p>
    <w:p w14:paraId="7D75928A" w14:textId="2118CCED" w:rsidR="00586CC7" w:rsidRDefault="00586CC7" w:rsidP="00586CC7">
      <w:pPr>
        <w:spacing w:line="360" w:lineRule="auto"/>
        <w:jc w:val="both"/>
        <w:rPr>
          <w:rFonts w:ascii="Arial" w:hAnsi="Arial" w:cs="Arial"/>
          <w:bCs/>
          <w:szCs w:val="20"/>
          <w:lang w:val="es-MX"/>
        </w:rPr>
      </w:pPr>
      <w:r>
        <w:rPr>
          <w:rFonts w:ascii="Arial" w:hAnsi="Arial" w:cs="Arial"/>
          <w:szCs w:val="20"/>
          <w:lang w:val="es-MX"/>
        </w:rPr>
        <w:t xml:space="preserve">Dichos movimientos están sujetos a análisis por parte de la DNPV. </w:t>
      </w:r>
      <w:r w:rsidRPr="00ED5BA3">
        <w:rPr>
          <w:rFonts w:ascii="Arial" w:hAnsi="Arial" w:cs="Arial"/>
          <w:bCs/>
          <w:szCs w:val="20"/>
          <w:lang w:val="es-MX"/>
        </w:rPr>
        <w:t xml:space="preserve">En </w:t>
      </w:r>
      <w:hyperlink r:id="rId9" w:history="1">
        <w:r w:rsidRPr="00ED5BA3">
          <w:rPr>
            <w:rStyle w:val="Hipervnculo"/>
            <w:rFonts w:ascii="Arial" w:hAnsi="Arial" w:cs="Arial"/>
            <w:bCs/>
            <w:szCs w:val="20"/>
            <w:lang w:val="es-MX"/>
          </w:rPr>
          <w:t>https://www.argentina.gob.ar/senasa/micrositios/hlb</w:t>
        </w:r>
      </w:hyperlink>
      <w:r w:rsidRPr="00ED5BA3">
        <w:rPr>
          <w:rFonts w:ascii="Arial" w:hAnsi="Arial" w:cs="Arial"/>
          <w:bCs/>
          <w:szCs w:val="20"/>
          <w:lang w:val="es-MX"/>
        </w:rPr>
        <w:t xml:space="preserve"> se encuentra el Instructivo “Medidas de Mitigación de Riesgo Fitosanitario para el traslado de los artículos reglamentados”, donde se describe el proceso para tramitar las solicitudes</w:t>
      </w:r>
      <w:r>
        <w:rPr>
          <w:rFonts w:ascii="Arial" w:hAnsi="Arial" w:cs="Arial"/>
          <w:bCs/>
          <w:szCs w:val="20"/>
          <w:lang w:val="es-MX"/>
        </w:rPr>
        <w:t>.</w:t>
      </w:r>
      <w:r w:rsidR="008957CC">
        <w:rPr>
          <w:rFonts w:ascii="Arial" w:hAnsi="Arial" w:cs="Arial"/>
          <w:bCs/>
          <w:szCs w:val="20"/>
          <w:lang w:val="es-MX"/>
        </w:rPr>
        <w:t xml:space="preserve"> Es importante tener en cuenta, que</w:t>
      </w:r>
      <w:r w:rsidR="00A630E3">
        <w:rPr>
          <w:rFonts w:ascii="Arial" w:hAnsi="Arial" w:cs="Arial"/>
          <w:bCs/>
          <w:szCs w:val="20"/>
          <w:lang w:val="es-MX"/>
        </w:rPr>
        <w:t xml:space="preserve"> estos movimientos no eximen la prohibición de ingreso al área protegida de HLB. </w:t>
      </w:r>
    </w:p>
    <w:p w14:paraId="5E2FAE1B" w14:textId="10376B4C" w:rsidR="00586CC7" w:rsidRDefault="006232CD" w:rsidP="00C2180B">
      <w:pPr>
        <w:spacing w:line="360" w:lineRule="auto"/>
        <w:ind w:left="708"/>
        <w:jc w:val="both"/>
        <w:rPr>
          <w:rFonts w:ascii="Arial" w:hAnsi="Arial" w:cs="Arial"/>
          <w:b/>
          <w:bCs/>
          <w:szCs w:val="20"/>
          <w:lang w:val="es-MX"/>
        </w:rPr>
      </w:pPr>
      <w:r>
        <w:rPr>
          <w:rFonts w:ascii="Arial" w:hAnsi="Arial" w:cs="Arial"/>
          <w:b/>
          <w:bCs/>
          <w:szCs w:val="20"/>
          <w:lang w:val="es-MX"/>
        </w:rPr>
        <w:t>1</w:t>
      </w:r>
      <w:r w:rsidR="002F2637">
        <w:rPr>
          <w:rFonts w:ascii="Arial" w:hAnsi="Arial" w:cs="Arial"/>
          <w:b/>
          <w:bCs/>
          <w:szCs w:val="20"/>
          <w:lang w:val="es-MX"/>
        </w:rPr>
        <w:t>8</w:t>
      </w:r>
      <w:r>
        <w:rPr>
          <w:rFonts w:ascii="Arial" w:hAnsi="Arial" w:cs="Arial"/>
          <w:b/>
          <w:bCs/>
          <w:szCs w:val="20"/>
          <w:lang w:val="es-MX"/>
        </w:rPr>
        <w:t xml:space="preserve">. </w:t>
      </w:r>
      <w:r w:rsidR="00586CC7" w:rsidRPr="006232CD">
        <w:rPr>
          <w:rFonts w:ascii="Arial" w:hAnsi="Arial" w:cs="Arial"/>
          <w:b/>
          <w:bCs/>
          <w:szCs w:val="20"/>
          <w:lang w:val="es-MX"/>
        </w:rPr>
        <w:t xml:space="preserve">Una planta de empaque y/o industria ubicada en un Área libre de HLB y </w:t>
      </w:r>
      <w:r w:rsidR="00586CC7" w:rsidRPr="006232CD">
        <w:rPr>
          <w:rFonts w:ascii="Arial" w:hAnsi="Arial" w:cs="Arial"/>
          <w:b/>
          <w:bCs/>
          <w:i/>
          <w:iCs/>
          <w:szCs w:val="20"/>
          <w:lang w:val="es-MX"/>
        </w:rPr>
        <w:t>D. citri</w:t>
      </w:r>
      <w:r w:rsidR="00586CC7" w:rsidRPr="006232CD">
        <w:rPr>
          <w:rFonts w:ascii="Arial" w:hAnsi="Arial" w:cs="Arial"/>
          <w:b/>
          <w:bCs/>
          <w:szCs w:val="20"/>
          <w:lang w:val="es-MX"/>
        </w:rPr>
        <w:t xml:space="preserve"> puede recibir fruta fresca cítrica sin proceso </w:t>
      </w:r>
      <w:r w:rsidR="00C56E3B" w:rsidRPr="006232CD">
        <w:rPr>
          <w:rFonts w:ascii="Arial" w:hAnsi="Arial" w:cs="Arial"/>
          <w:b/>
          <w:bCs/>
          <w:szCs w:val="20"/>
          <w:lang w:val="es-MX"/>
        </w:rPr>
        <w:t xml:space="preserve">proveniente de Áreas Bajo Cuarentena y/o en un Área Libre de HLB con presencia de </w:t>
      </w:r>
      <w:r w:rsidR="00C56E3B" w:rsidRPr="006232CD">
        <w:rPr>
          <w:rFonts w:ascii="Arial" w:hAnsi="Arial" w:cs="Arial"/>
          <w:b/>
          <w:bCs/>
          <w:i/>
          <w:iCs/>
          <w:szCs w:val="20"/>
          <w:lang w:val="es-MX"/>
        </w:rPr>
        <w:t>D. citri</w:t>
      </w:r>
      <w:r w:rsidR="00586CC7" w:rsidRPr="006232CD">
        <w:rPr>
          <w:rFonts w:ascii="Arial" w:hAnsi="Arial" w:cs="Arial"/>
          <w:b/>
          <w:bCs/>
          <w:szCs w:val="20"/>
          <w:lang w:val="es-MX"/>
        </w:rPr>
        <w:t>?</w:t>
      </w:r>
    </w:p>
    <w:p w14:paraId="2A7C919C" w14:textId="4F7A6C4D" w:rsidR="006232CD" w:rsidRPr="006232CD" w:rsidRDefault="006232CD" w:rsidP="006232CD">
      <w:pPr>
        <w:spacing w:line="360" w:lineRule="auto"/>
        <w:jc w:val="both"/>
        <w:rPr>
          <w:rFonts w:ascii="Arial" w:hAnsi="Arial" w:cs="Arial"/>
          <w:bCs/>
          <w:szCs w:val="20"/>
          <w:lang w:val="es-MX"/>
        </w:rPr>
      </w:pPr>
      <w:r>
        <w:rPr>
          <w:rFonts w:ascii="Arial" w:hAnsi="Arial" w:cs="Arial"/>
          <w:szCs w:val="20"/>
          <w:lang w:val="es-MX"/>
        </w:rPr>
        <w:t xml:space="preserve">Dichos movimientos están sujetos a análisis por parte de la DNPV. </w:t>
      </w:r>
      <w:r w:rsidRPr="00ED5BA3">
        <w:rPr>
          <w:rFonts w:ascii="Arial" w:hAnsi="Arial" w:cs="Arial"/>
          <w:bCs/>
          <w:szCs w:val="20"/>
          <w:lang w:val="es-MX"/>
        </w:rPr>
        <w:t xml:space="preserve">En </w:t>
      </w:r>
      <w:hyperlink r:id="rId10" w:history="1">
        <w:r w:rsidRPr="00ED5BA3">
          <w:rPr>
            <w:rStyle w:val="Hipervnculo"/>
            <w:rFonts w:ascii="Arial" w:hAnsi="Arial" w:cs="Arial"/>
            <w:bCs/>
            <w:szCs w:val="20"/>
            <w:lang w:val="es-MX"/>
          </w:rPr>
          <w:t>https://www.argentina.gob.ar/senasa/micrositios/hlb</w:t>
        </w:r>
      </w:hyperlink>
      <w:r w:rsidRPr="00ED5BA3">
        <w:rPr>
          <w:rFonts w:ascii="Arial" w:hAnsi="Arial" w:cs="Arial"/>
          <w:bCs/>
          <w:szCs w:val="20"/>
          <w:lang w:val="es-MX"/>
        </w:rPr>
        <w:t xml:space="preserve"> se encuentra el Instructivo </w:t>
      </w:r>
      <w:r w:rsidRPr="00ED5BA3">
        <w:rPr>
          <w:rFonts w:ascii="Arial" w:hAnsi="Arial" w:cs="Arial"/>
          <w:bCs/>
          <w:szCs w:val="20"/>
          <w:lang w:val="es-MX"/>
        </w:rPr>
        <w:lastRenderedPageBreak/>
        <w:t>“Medidas de Mitigación de Riesgo Fitosanitario para el traslado de los artículos reglamentados”, donde se describe el proceso para tramitar las solicitudes</w:t>
      </w:r>
      <w:r>
        <w:rPr>
          <w:rFonts w:ascii="Arial" w:hAnsi="Arial" w:cs="Arial"/>
          <w:bCs/>
          <w:szCs w:val="20"/>
          <w:lang w:val="es-MX"/>
        </w:rPr>
        <w:t>.</w:t>
      </w:r>
    </w:p>
    <w:p w14:paraId="6E156B66" w14:textId="7F8EA93D" w:rsidR="00586CC7" w:rsidRPr="006232CD" w:rsidRDefault="006232CD" w:rsidP="006232CD">
      <w:pPr>
        <w:spacing w:line="360" w:lineRule="auto"/>
        <w:ind w:left="708"/>
        <w:jc w:val="both"/>
        <w:rPr>
          <w:rFonts w:ascii="Arial" w:hAnsi="Arial" w:cs="Arial"/>
          <w:bCs/>
          <w:szCs w:val="20"/>
        </w:rPr>
      </w:pPr>
      <w:r>
        <w:rPr>
          <w:rFonts w:ascii="Arial" w:hAnsi="Arial" w:cs="Arial"/>
          <w:b/>
          <w:bCs/>
          <w:szCs w:val="20"/>
          <w:lang w:val="es-MX"/>
        </w:rPr>
        <w:t>1</w:t>
      </w:r>
      <w:r w:rsidR="002F2637">
        <w:rPr>
          <w:rFonts w:ascii="Arial" w:hAnsi="Arial" w:cs="Arial"/>
          <w:b/>
          <w:bCs/>
          <w:szCs w:val="20"/>
          <w:lang w:val="es-MX"/>
        </w:rPr>
        <w:t>9</w:t>
      </w:r>
      <w:r>
        <w:rPr>
          <w:rFonts w:ascii="Arial" w:hAnsi="Arial" w:cs="Arial"/>
          <w:b/>
          <w:bCs/>
          <w:szCs w:val="20"/>
          <w:lang w:val="es-MX"/>
        </w:rPr>
        <w:t xml:space="preserve">. </w:t>
      </w:r>
      <w:r w:rsidR="00586CC7" w:rsidRPr="006232CD">
        <w:rPr>
          <w:rFonts w:ascii="Arial" w:hAnsi="Arial" w:cs="Arial"/>
          <w:b/>
          <w:bCs/>
          <w:szCs w:val="20"/>
          <w:lang w:val="es-MX"/>
        </w:rPr>
        <w:t>¿Qué MMRF afectan el traslado de material de propagación cítrico en clase fiscalizado?</w:t>
      </w:r>
    </w:p>
    <w:p w14:paraId="70EF6E88" w14:textId="692AC30A" w:rsidR="00ED5BA3" w:rsidRPr="00ED5BA3" w:rsidRDefault="00586CC7" w:rsidP="00ED5BA3">
      <w:pPr>
        <w:spacing w:line="360" w:lineRule="auto"/>
        <w:jc w:val="both"/>
        <w:rPr>
          <w:rFonts w:ascii="Arial" w:hAnsi="Arial" w:cs="Arial"/>
          <w:bCs/>
          <w:szCs w:val="20"/>
        </w:rPr>
      </w:pPr>
      <w:r w:rsidRPr="00586CC7">
        <w:rPr>
          <w:rFonts w:ascii="Arial" w:hAnsi="Arial" w:cs="Arial"/>
          <w:bCs/>
          <w:szCs w:val="20"/>
          <w:lang w:val="es-MX"/>
        </w:rPr>
        <w:t>La carga debe ser transportada totalmente cubierta o en vehículos con recinto de carga cerrados, a excepción de los movimientos con destino venta al público, siempre que estos no realicen tránsito por otra área.</w:t>
      </w:r>
    </w:p>
    <w:p w14:paraId="3B9BD0DF" w14:textId="6BF97E31" w:rsidR="00586CC7" w:rsidRPr="00586CC7" w:rsidRDefault="002F2637" w:rsidP="006232CD">
      <w:pPr>
        <w:spacing w:line="360" w:lineRule="auto"/>
        <w:ind w:left="708"/>
        <w:jc w:val="both"/>
        <w:rPr>
          <w:rFonts w:ascii="Arial" w:hAnsi="Arial" w:cs="Arial"/>
          <w:bCs/>
          <w:szCs w:val="20"/>
        </w:rPr>
      </w:pPr>
      <w:r>
        <w:rPr>
          <w:rFonts w:ascii="Arial" w:hAnsi="Arial" w:cs="Arial"/>
          <w:b/>
          <w:bCs/>
          <w:szCs w:val="20"/>
          <w:lang w:val="es-MX"/>
        </w:rPr>
        <w:t>20</w:t>
      </w:r>
      <w:r w:rsidR="006232CD">
        <w:rPr>
          <w:rFonts w:ascii="Arial" w:hAnsi="Arial" w:cs="Arial"/>
          <w:b/>
          <w:bCs/>
          <w:szCs w:val="20"/>
          <w:lang w:val="es-MX"/>
        </w:rPr>
        <w:t xml:space="preserve">. </w:t>
      </w:r>
      <w:r w:rsidR="00586CC7" w:rsidRPr="00586CC7">
        <w:rPr>
          <w:rFonts w:ascii="Arial" w:hAnsi="Arial" w:cs="Arial"/>
          <w:b/>
          <w:bCs/>
          <w:szCs w:val="20"/>
          <w:lang w:val="es-MX"/>
        </w:rPr>
        <w:t>¿Qué MMRF deben cumplir los operadores productores de Material de propagación cítrico en clase fiscalizada?</w:t>
      </w:r>
    </w:p>
    <w:p w14:paraId="3C4053B3" w14:textId="0AD7DFEF" w:rsidR="00557261" w:rsidRDefault="00586CC7" w:rsidP="00586CC7">
      <w:pPr>
        <w:spacing w:line="360" w:lineRule="auto"/>
        <w:jc w:val="both"/>
        <w:rPr>
          <w:rFonts w:ascii="Arial" w:hAnsi="Arial" w:cs="Arial"/>
          <w:bCs/>
          <w:szCs w:val="20"/>
          <w:lang w:val="es-MX"/>
        </w:rPr>
      </w:pPr>
      <w:r w:rsidRPr="00586CC7">
        <w:rPr>
          <w:rFonts w:ascii="Arial" w:hAnsi="Arial" w:cs="Arial"/>
          <w:bCs/>
          <w:szCs w:val="20"/>
          <w:lang w:val="es-MX"/>
        </w:rPr>
        <w:t xml:space="preserve">Estos deben mantener en sus establecimientos una red de trampeo y realizar la aplicación de insecticida sistémico previo al tránsito, siguiendo las especificaciones técnicas del producto. Además, deben cumplir con las MMRF definidas para el traslado del material. En </w:t>
      </w:r>
      <w:hyperlink r:id="rId11" w:history="1">
        <w:r w:rsidRPr="00586CC7">
          <w:rPr>
            <w:rStyle w:val="Hipervnculo"/>
            <w:rFonts w:ascii="Arial" w:hAnsi="Arial" w:cs="Arial"/>
            <w:bCs/>
            <w:szCs w:val="20"/>
            <w:lang w:val="es-MX"/>
          </w:rPr>
          <w:t>https://www.argentina.gob.ar/senasa/micrositios/hlb</w:t>
        </w:r>
      </w:hyperlink>
      <w:r w:rsidRPr="00586CC7">
        <w:rPr>
          <w:rFonts w:ascii="Arial" w:hAnsi="Arial" w:cs="Arial"/>
          <w:bCs/>
          <w:szCs w:val="20"/>
          <w:lang w:val="es-MX"/>
        </w:rPr>
        <w:t xml:space="preserve"> se encuentra el Instructivo “Medidas de Mitigación de Riesgo Fitosanitario para el traslado de los artículos reglamentados” donde se detallan las medidas.</w:t>
      </w:r>
    </w:p>
    <w:p w14:paraId="16B68880" w14:textId="71BE3A48" w:rsidR="00557261" w:rsidRPr="00557261" w:rsidRDefault="002F2637" w:rsidP="00557261">
      <w:pPr>
        <w:spacing w:line="360" w:lineRule="auto"/>
        <w:ind w:firstLine="708"/>
        <w:jc w:val="both"/>
        <w:rPr>
          <w:rFonts w:ascii="Arial" w:hAnsi="Arial" w:cs="Arial"/>
          <w:b/>
          <w:bCs/>
          <w:szCs w:val="20"/>
          <w:lang w:val="es-MX"/>
        </w:rPr>
      </w:pPr>
      <w:r>
        <w:rPr>
          <w:rFonts w:ascii="Arial" w:hAnsi="Arial" w:cs="Arial"/>
          <w:b/>
          <w:bCs/>
          <w:szCs w:val="20"/>
          <w:lang w:val="es-MX"/>
        </w:rPr>
        <w:t>2</w:t>
      </w:r>
      <w:r w:rsidR="00557261" w:rsidRPr="00557261">
        <w:rPr>
          <w:rFonts w:ascii="Arial" w:hAnsi="Arial" w:cs="Arial"/>
          <w:b/>
          <w:bCs/>
          <w:szCs w:val="20"/>
          <w:lang w:val="es-MX"/>
        </w:rPr>
        <w:t>1. ¿Esta norma modifica o complementa a otra?</w:t>
      </w:r>
    </w:p>
    <w:p w14:paraId="63F87385" w14:textId="12CFFCC8" w:rsidR="00557261" w:rsidRDefault="00557261" w:rsidP="00586CC7">
      <w:pPr>
        <w:spacing w:line="360" w:lineRule="auto"/>
        <w:jc w:val="both"/>
        <w:rPr>
          <w:rFonts w:ascii="Arial" w:hAnsi="Arial" w:cs="Arial"/>
          <w:bCs/>
          <w:szCs w:val="20"/>
          <w:lang w:val="es-MX"/>
        </w:rPr>
      </w:pPr>
      <w:r>
        <w:rPr>
          <w:rFonts w:ascii="Arial" w:hAnsi="Arial" w:cs="Arial"/>
          <w:bCs/>
          <w:szCs w:val="20"/>
          <w:lang w:val="es-MX"/>
        </w:rPr>
        <w:t>Si. Los establecimientos comerciales de plantaciones de cítricos que se encuentren dentro de un área bajo cuarentena deben implementar el “Plan de Trabajo para el Control y Erradicación del HLB y su Vector (</w:t>
      </w:r>
      <w:r w:rsidRPr="00557261">
        <w:rPr>
          <w:rFonts w:ascii="Arial" w:hAnsi="Arial" w:cs="Arial"/>
          <w:bCs/>
          <w:i/>
          <w:szCs w:val="20"/>
          <w:lang w:val="es-MX"/>
        </w:rPr>
        <w:t>Diaphorina citri</w:t>
      </w:r>
      <w:r>
        <w:rPr>
          <w:rFonts w:ascii="Arial" w:hAnsi="Arial" w:cs="Arial"/>
          <w:bCs/>
          <w:szCs w:val="20"/>
          <w:lang w:val="es-MX"/>
        </w:rPr>
        <w:t xml:space="preserve">), establecido en la Res. </w:t>
      </w:r>
      <w:proofErr w:type="spellStart"/>
      <w:r>
        <w:rPr>
          <w:rFonts w:ascii="Arial" w:hAnsi="Arial" w:cs="Arial"/>
          <w:bCs/>
          <w:szCs w:val="20"/>
          <w:lang w:val="es-MX"/>
        </w:rPr>
        <w:t>Senasa</w:t>
      </w:r>
      <w:proofErr w:type="spellEnd"/>
      <w:r>
        <w:rPr>
          <w:rFonts w:ascii="Arial" w:hAnsi="Arial" w:cs="Arial"/>
          <w:bCs/>
          <w:szCs w:val="20"/>
          <w:lang w:val="es-MX"/>
        </w:rPr>
        <w:t xml:space="preserve"> N° 524/2018.  </w:t>
      </w:r>
    </w:p>
    <w:p w14:paraId="4B631B74" w14:textId="77777777" w:rsidR="007B09E2" w:rsidRPr="007B09E2" w:rsidRDefault="007B09E2" w:rsidP="00A070EF">
      <w:pPr>
        <w:spacing w:line="360" w:lineRule="auto"/>
        <w:ind w:left="360"/>
        <w:jc w:val="both"/>
        <w:rPr>
          <w:rFonts w:ascii="Arial" w:hAnsi="Arial" w:cs="Arial"/>
          <w:lang w:val="es-MX"/>
        </w:rPr>
      </w:pPr>
    </w:p>
    <w:sectPr w:rsidR="007B09E2" w:rsidRPr="007B09E2">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FDB49" w14:textId="77777777" w:rsidR="00BF5CDA" w:rsidRDefault="00BF5CDA" w:rsidP="0094709E">
      <w:pPr>
        <w:spacing w:after="0" w:line="240" w:lineRule="auto"/>
      </w:pPr>
      <w:r>
        <w:separator/>
      </w:r>
    </w:p>
  </w:endnote>
  <w:endnote w:type="continuationSeparator" w:id="0">
    <w:p w14:paraId="42F5D62C" w14:textId="77777777" w:rsidR="00BF5CDA" w:rsidRDefault="00BF5CDA" w:rsidP="00947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34600" w14:textId="77777777" w:rsidR="00642F06" w:rsidRDefault="00642F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3A967" w14:textId="77777777" w:rsidR="00642F06" w:rsidRDefault="00642F0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802FB" w14:textId="77777777" w:rsidR="00642F06" w:rsidRDefault="00642F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94397" w14:textId="77777777" w:rsidR="00BF5CDA" w:rsidRDefault="00BF5CDA" w:rsidP="0094709E">
      <w:pPr>
        <w:spacing w:after="0" w:line="240" w:lineRule="auto"/>
      </w:pPr>
      <w:r>
        <w:separator/>
      </w:r>
    </w:p>
  </w:footnote>
  <w:footnote w:type="continuationSeparator" w:id="0">
    <w:p w14:paraId="429A8982" w14:textId="77777777" w:rsidR="00BF5CDA" w:rsidRDefault="00BF5CDA" w:rsidP="00947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F51E5" w14:textId="77777777" w:rsidR="00642F06" w:rsidRDefault="00642F0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2EC67" w14:textId="2FE07E3A" w:rsidR="0094709E" w:rsidRDefault="0094709E">
    <w:pPr>
      <w:pStyle w:val="Encabezado"/>
    </w:pPr>
    <w:r>
      <w:rPr>
        <w:rFonts w:ascii="Arial" w:hAnsi="Arial" w:cs="Arial"/>
        <w:noProof/>
        <w:color w:val="404040"/>
        <w:sz w:val="20"/>
        <w:szCs w:val="20"/>
        <w:lang w:eastAsia="es-AR"/>
      </w:rPr>
      <w:drawing>
        <wp:anchor distT="0" distB="0" distL="114300" distR="114300" simplePos="0" relativeHeight="251657216" behindDoc="0" locked="0" layoutInCell="1" allowOverlap="1" wp14:anchorId="57A6A486" wp14:editId="2F027D6D">
          <wp:simplePos x="0" y="0"/>
          <wp:positionH relativeFrom="margin">
            <wp:posOffset>3799205</wp:posOffset>
          </wp:positionH>
          <wp:positionV relativeFrom="margin">
            <wp:posOffset>-687070</wp:posOffset>
          </wp:positionV>
          <wp:extent cx="1759585" cy="681355"/>
          <wp:effectExtent l="0" t="0" r="0" b="4445"/>
          <wp:wrapSquare wrapText="bothSides"/>
          <wp:docPr id="3" name="Imagen 3"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58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404040"/>
        <w:sz w:val="20"/>
        <w:szCs w:val="20"/>
        <w:lang w:eastAsia="es-AR"/>
      </w:rPr>
      <w:drawing>
        <wp:inline distT="0" distB="0" distL="0" distR="0" wp14:anchorId="0D9282C9" wp14:editId="48B017BC">
          <wp:extent cx="1390650" cy="685800"/>
          <wp:effectExtent l="0" t="0" r="0" b="0"/>
          <wp:docPr id="2" name="Imagen 2" descr="Cap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685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848D2" w14:textId="77777777" w:rsidR="00642F06" w:rsidRDefault="00642F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16493"/>
    <w:multiLevelType w:val="multilevel"/>
    <w:tmpl w:val="4F8A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C0867"/>
    <w:multiLevelType w:val="hybridMultilevel"/>
    <w:tmpl w:val="7460210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C215F81"/>
    <w:multiLevelType w:val="hybridMultilevel"/>
    <w:tmpl w:val="5BBEF98C"/>
    <w:lvl w:ilvl="0" w:tplc="F07AFC7A">
      <w:numFmt w:val="bullet"/>
      <w:lvlText w:val="-"/>
      <w:lvlJc w:val="left"/>
      <w:pPr>
        <w:ind w:left="720" w:hanging="360"/>
      </w:pPr>
      <w:rPr>
        <w:rFonts w:ascii="Times New Roman" w:eastAsia="Times New Roman" w:hAnsi="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66B11FA"/>
    <w:multiLevelType w:val="multilevel"/>
    <w:tmpl w:val="C5A4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490C99"/>
    <w:multiLevelType w:val="hybridMultilevel"/>
    <w:tmpl w:val="1BDAE18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3946455"/>
    <w:multiLevelType w:val="hybridMultilevel"/>
    <w:tmpl w:val="96B4DF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368C624D"/>
    <w:multiLevelType w:val="hybridMultilevel"/>
    <w:tmpl w:val="18362914"/>
    <w:lvl w:ilvl="0" w:tplc="F07AFC7A">
      <w:numFmt w:val="bullet"/>
      <w:lvlText w:val="-"/>
      <w:lvlJc w:val="left"/>
      <w:pPr>
        <w:ind w:left="1068" w:hanging="360"/>
      </w:pPr>
      <w:rPr>
        <w:rFonts w:ascii="Times New Roman" w:eastAsia="Times New Roman" w:hAnsi="Times New Roman"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7" w15:restartNumberingAfterBreak="0">
    <w:nsid w:val="48A22E1C"/>
    <w:multiLevelType w:val="hybridMultilevel"/>
    <w:tmpl w:val="037E59B6"/>
    <w:lvl w:ilvl="0" w:tplc="F07AFC7A">
      <w:numFmt w:val="bullet"/>
      <w:lvlText w:val="-"/>
      <w:lvlJc w:val="left"/>
      <w:pPr>
        <w:ind w:left="720" w:hanging="360"/>
      </w:pPr>
      <w:rPr>
        <w:rFonts w:ascii="Times New Roman" w:eastAsia="Times New Roman" w:hAnsi="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4D7D737E"/>
    <w:multiLevelType w:val="hybridMultilevel"/>
    <w:tmpl w:val="ED9639EC"/>
    <w:lvl w:ilvl="0" w:tplc="9AB239B0">
      <w:start w:val="1"/>
      <w:numFmt w:val="decimal"/>
      <w:lvlText w:val="%1."/>
      <w:lvlJc w:val="left"/>
      <w:pPr>
        <w:ind w:left="720" w:hanging="360"/>
      </w:pPr>
      <w:rPr>
        <w:b/>
        <w:bCs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55643329"/>
    <w:multiLevelType w:val="hybridMultilevel"/>
    <w:tmpl w:val="E028E9C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5C6855FC"/>
    <w:multiLevelType w:val="multilevel"/>
    <w:tmpl w:val="D17E4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E34D84"/>
    <w:multiLevelType w:val="hybridMultilevel"/>
    <w:tmpl w:val="168AF2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3"/>
  </w:num>
  <w:num w:numId="5">
    <w:abstractNumId w:val="5"/>
  </w:num>
  <w:num w:numId="6">
    <w:abstractNumId w:val="6"/>
  </w:num>
  <w:num w:numId="7">
    <w:abstractNumId w:val="2"/>
  </w:num>
  <w:num w:numId="8">
    <w:abstractNumId w:val="7"/>
  </w:num>
  <w:num w:numId="9">
    <w:abstractNumId w:val="8"/>
  </w:num>
  <w:num w:numId="10">
    <w:abstractNumId w:val="9"/>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B36"/>
    <w:rsid w:val="00082B22"/>
    <w:rsid w:val="00086DB0"/>
    <w:rsid w:val="00091222"/>
    <w:rsid w:val="000D1D65"/>
    <w:rsid w:val="000D2975"/>
    <w:rsid w:val="000E4D09"/>
    <w:rsid w:val="000F51E7"/>
    <w:rsid w:val="00125868"/>
    <w:rsid w:val="00145788"/>
    <w:rsid w:val="00166FAA"/>
    <w:rsid w:val="00172CF4"/>
    <w:rsid w:val="001775C7"/>
    <w:rsid w:val="001B2DC2"/>
    <w:rsid w:val="001D00A2"/>
    <w:rsid w:val="001F43C3"/>
    <w:rsid w:val="001F678C"/>
    <w:rsid w:val="002030A2"/>
    <w:rsid w:val="00220201"/>
    <w:rsid w:val="00243B8A"/>
    <w:rsid w:val="002677A0"/>
    <w:rsid w:val="00270EF5"/>
    <w:rsid w:val="00291C28"/>
    <w:rsid w:val="002B2C9C"/>
    <w:rsid w:val="002C7843"/>
    <w:rsid w:val="002D76FD"/>
    <w:rsid w:val="002E03FA"/>
    <w:rsid w:val="002F2637"/>
    <w:rsid w:val="002F7538"/>
    <w:rsid w:val="00313F56"/>
    <w:rsid w:val="00327E02"/>
    <w:rsid w:val="00362B37"/>
    <w:rsid w:val="00370F08"/>
    <w:rsid w:val="003728FF"/>
    <w:rsid w:val="003A46DB"/>
    <w:rsid w:val="003B7664"/>
    <w:rsid w:val="003D7714"/>
    <w:rsid w:val="00415028"/>
    <w:rsid w:val="004477EB"/>
    <w:rsid w:val="00467BB7"/>
    <w:rsid w:val="00483A71"/>
    <w:rsid w:val="00496243"/>
    <w:rsid w:val="004A0F07"/>
    <w:rsid w:val="004F6A19"/>
    <w:rsid w:val="004F7E3D"/>
    <w:rsid w:val="00512090"/>
    <w:rsid w:val="0052523C"/>
    <w:rsid w:val="00534110"/>
    <w:rsid w:val="00547252"/>
    <w:rsid w:val="005473EE"/>
    <w:rsid w:val="00557261"/>
    <w:rsid w:val="00562864"/>
    <w:rsid w:val="00572BB5"/>
    <w:rsid w:val="00583299"/>
    <w:rsid w:val="00586CC7"/>
    <w:rsid w:val="005C6615"/>
    <w:rsid w:val="00604194"/>
    <w:rsid w:val="00604F49"/>
    <w:rsid w:val="006232CD"/>
    <w:rsid w:val="006263FC"/>
    <w:rsid w:val="006265CA"/>
    <w:rsid w:val="00633A52"/>
    <w:rsid w:val="00642F06"/>
    <w:rsid w:val="00646839"/>
    <w:rsid w:val="006B1C04"/>
    <w:rsid w:val="006F41E1"/>
    <w:rsid w:val="00702BF2"/>
    <w:rsid w:val="0070306B"/>
    <w:rsid w:val="00760702"/>
    <w:rsid w:val="00793127"/>
    <w:rsid w:val="00796219"/>
    <w:rsid w:val="007B09E2"/>
    <w:rsid w:val="007B2AD4"/>
    <w:rsid w:val="00806FC6"/>
    <w:rsid w:val="00812427"/>
    <w:rsid w:val="0081383D"/>
    <w:rsid w:val="00836914"/>
    <w:rsid w:val="008572A0"/>
    <w:rsid w:val="00873C10"/>
    <w:rsid w:val="0088279F"/>
    <w:rsid w:val="008957CC"/>
    <w:rsid w:val="008978E1"/>
    <w:rsid w:val="008A3613"/>
    <w:rsid w:val="008C02C8"/>
    <w:rsid w:val="00900891"/>
    <w:rsid w:val="009137EC"/>
    <w:rsid w:val="00916ADC"/>
    <w:rsid w:val="0094709E"/>
    <w:rsid w:val="009977CB"/>
    <w:rsid w:val="009D79A1"/>
    <w:rsid w:val="00A070EF"/>
    <w:rsid w:val="00A31921"/>
    <w:rsid w:val="00A363F9"/>
    <w:rsid w:val="00A500C1"/>
    <w:rsid w:val="00A630E3"/>
    <w:rsid w:val="00A73CAD"/>
    <w:rsid w:val="00AA0F9E"/>
    <w:rsid w:val="00AA7E7F"/>
    <w:rsid w:val="00AB0C86"/>
    <w:rsid w:val="00AF5E64"/>
    <w:rsid w:val="00B24BB7"/>
    <w:rsid w:val="00B30288"/>
    <w:rsid w:val="00B341DE"/>
    <w:rsid w:val="00B40B30"/>
    <w:rsid w:val="00B41B7D"/>
    <w:rsid w:val="00B47448"/>
    <w:rsid w:val="00B62356"/>
    <w:rsid w:val="00B629C4"/>
    <w:rsid w:val="00B66ACD"/>
    <w:rsid w:val="00B70426"/>
    <w:rsid w:val="00B75D0B"/>
    <w:rsid w:val="00B83293"/>
    <w:rsid w:val="00BB0AC5"/>
    <w:rsid w:val="00BC2290"/>
    <w:rsid w:val="00BD22EC"/>
    <w:rsid w:val="00BF5CDA"/>
    <w:rsid w:val="00C10A05"/>
    <w:rsid w:val="00C2180B"/>
    <w:rsid w:val="00C40F3B"/>
    <w:rsid w:val="00C4639A"/>
    <w:rsid w:val="00C56A8B"/>
    <w:rsid w:val="00C56E3B"/>
    <w:rsid w:val="00C660EF"/>
    <w:rsid w:val="00C94B36"/>
    <w:rsid w:val="00CA4053"/>
    <w:rsid w:val="00CB2AF4"/>
    <w:rsid w:val="00CC3EC9"/>
    <w:rsid w:val="00CD2DC7"/>
    <w:rsid w:val="00CE1483"/>
    <w:rsid w:val="00D07A3E"/>
    <w:rsid w:val="00D10303"/>
    <w:rsid w:val="00D23963"/>
    <w:rsid w:val="00D27CC5"/>
    <w:rsid w:val="00D45752"/>
    <w:rsid w:val="00D477D3"/>
    <w:rsid w:val="00D558D8"/>
    <w:rsid w:val="00D7597B"/>
    <w:rsid w:val="00D92DF3"/>
    <w:rsid w:val="00DB0C27"/>
    <w:rsid w:val="00DD065A"/>
    <w:rsid w:val="00DF6E89"/>
    <w:rsid w:val="00E40D9E"/>
    <w:rsid w:val="00E53834"/>
    <w:rsid w:val="00EA2474"/>
    <w:rsid w:val="00EC6138"/>
    <w:rsid w:val="00ED5BA3"/>
    <w:rsid w:val="00ED6456"/>
    <w:rsid w:val="00EE4AED"/>
    <w:rsid w:val="00F41032"/>
    <w:rsid w:val="00F74D6C"/>
    <w:rsid w:val="00FB2E5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176B1"/>
  <w15:docId w15:val="{5940B683-A7D1-4767-9EEE-585506BB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4B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B36"/>
    <w:rPr>
      <w:rFonts w:ascii="Segoe UI" w:hAnsi="Segoe UI" w:cs="Segoe UI"/>
      <w:sz w:val="18"/>
      <w:szCs w:val="18"/>
    </w:rPr>
  </w:style>
  <w:style w:type="paragraph" w:styleId="Prrafodelista">
    <w:name w:val="List Paragraph"/>
    <w:basedOn w:val="Normal"/>
    <w:uiPriority w:val="34"/>
    <w:qFormat/>
    <w:rsid w:val="00BD22EC"/>
    <w:pPr>
      <w:ind w:left="720"/>
      <w:contextualSpacing/>
    </w:pPr>
  </w:style>
  <w:style w:type="paragraph" w:styleId="Encabezado">
    <w:name w:val="header"/>
    <w:basedOn w:val="Normal"/>
    <w:link w:val="EncabezadoCar"/>
    <w:uiPriority w:val="99"/>
    <w:unhideWhenUsed/>
    <w:rsid w:val="009470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709E"/>
  </w:style>
  <w:style w:type="paragraph" w:styleId="Piedepgina">
    <w:name w:val="footer"/>
    <w:basedOn w:val="Normal"/>
    <w:link w:val="PiedepginaCar"/>
    <w:uiPriority w:val="99"/>
    <w:unhideWhenUsed/>
    <w:rsid w:val="009470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709E"/>
  </w:style>
  <w:style w:type="character" w:styleId="Refdecomentario">
    <w:name w:val="annotation reference"/>
    <w:basedOn w:val="Fuentedeprrafopredeter"/>
    <w:uiPriority w:val="99"/>
    <w:semiHidden/>
    <w:unhideWhenUsed/>
    <w:rsid w:val="006265CA"/>
    <w:rPr>
      <w:sz w:val="16"/>
      <w:szCs w:val="16"/>
    </w:rPr>
  </w:style>
  <w:style w:type="paragraph" w:styleId="Textocomentario">
    <w:name w:val="annotation text"/>
    <w:basedOn w:val="Normal"/>
    <w:link w:val="TextocomentarioCar"/>
    <w:uiPriority w:val="99"/>
    <w:semiHidden/>
    <w:unhideWhenUsed/>
    <w:rsid w:val="006265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65CA"/>
    <w:rPr>
      <w:sz w:val="20"/>
      <w:szCs w:val="20"/>
    </w:rPr>
  </w:style>
  <w:style w:type="paragraph" w:styleId="Asuntodelcomentario">
    <w:name w:val="annotation subject"/>
    <w:basedOn w:val="Textocomentario"/>
    <w:next w:val="Textocomentario"/>
    <w:link w:val="AsuntodelcomentarioCar"/>
    <w:uiPriority w:val="99"/>
    <w:semiHidden/>
    <w:unhideWhenUsed/>
    <w:rsid w:val="006265CA"/>
    <w:rPr>
      <w:b/>
      <w:bCs/>
    </w:rPr>
  </w:style>
  <w:style w:type="character" w:customStyle="1" w:styleId="AsuntodelcomentarioCar">
    <w:name w:val="Asunto del comentario Car"/>
    <w:basedOn w:val="TextocomentarioCar"/>
    <w:link w:val="Asuntodelcomentario"/>
    <w:uiPriority w:val="99"/>
    <w:semiHidden/>
    <w:rsid w:val="006265CA"/>
    <w:rPr>
      <w:b/>
      <w:bCs/>
      <w:sz w:val="20"/>
      <w:szCs w:val="20"/>
    </w:rPr>
  </w:style>
  <w:style w:type="character" w:styleId="Hipervnculo">
    <w:name w:val="Hyperlink"/>
    <w:basedOn w:val="Fuentedeprrafopredeter"/>
    <w:uiPriority w:val="99"/>
    <w:unhideWhenUsed/>
    <w:rsid w:val="00B41B7D"/>
    <w:rPr>
      <w:color w:val="0563C1" w:themeColor="hyperlink"/>
      <w:u w:val="single"/>
    </w:rPr>
  </w:style>
  <w:style w:type="character" w:customStyle="1" w:styleId="Mencinsinresolver1">
    <w:name w:val="Mención sin resolver1"/>
    <w:basedOn w:val="Fuentedeprrafopredeter"/>
    <w:uiPriority w:val="99"/>
    <w:semiHidden/>
    <w:unhideWhenUsed/>
    <w:rsid w:val="00B41B7D"/>
    <w:rPr>
      <w:color w:val="605E5C"/>
      <w:shd w:val="clear" w:color="auto" w:fill="E1DFDD"/>
    </w:rPr>
  </w:style>
  <w:style w:type="paragraph" w:styleId="Descripcin">
    <w:name w:val="caption"/>
    <w:basedOn w:val="Normal"/>
    <w:next w:val="Normal"/>
    <w:uiPriority w:val="35"/>
    <w:unhideWhenUsed/>
    <w:qFormat/>
    <w:rsid w:val="0083691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069420">
      <w:bodyDiv w:val="1"/>
      <w:marLeft w:val="0"/>
      <w:marRight w:val="0"/>
      <w:marTop w:val="0"/>
      <w:marBottom w:val="0"/>
      <w:divBdr>
        <w:top w:val="none" w:sz="0" w:space="0" w:color="auto"/>
        <w:left w:val="none" w:sz="0" w:space="0" w:color="auto"/>
        <w:bottom w:val="none" w:sz="0" w:space="0" w:color="auto"/>
        <w:right w:val="none" w:sz="0" w:space="0" w:color="auto"/>
      </w:divBdr>
    </w:div>
    <w:div w:id="399593745">
      <w:bodyDiv w:val="1"/>
      <w:marLeft w:val="0"/>
      <w:marRight w:val="0"/>
      <w:marTop w:val="0"/>
      <w:marBottom w:val="0"/>
      <w:divBdr>
        <w:top w:val="none" w:sz="0" w:space="0" w:color="auto"/>
        <w:left w:val="none" w:sz="0" w:space="0" w:color="auto"/>
        <w:bottom w:val="none" w:sz="0" w:space="0" w:color="auto"/>
        <w:right w:val="none" w:sz="0" w:space="0" w:color="auto"/>
      </w:divBdr>
    </w:div>
    <w:div w:id="536478490">
      <w:bodyDiv w:val="1"/>
      <w:marLeft w:val="0"/>
      <w:marRight w:val="0"/>
      <w:marTop w:val="0"/>
      <w:marBottom w:val="0"/>
      <w:divBdr>
        <w:top w:val="none" w:sz="0" w:space="0" w:color="auto"/>
        <w:left w:val="none" w:sz="0" w:space="0" w:color="auto"/>
        <w:bottom w:val="none" w:sz="0" w:space="0" w:color="auto"/>
        <w:right w:val="none" w:sz="0" w:space="0" w:color="auto"/>
      </w:divBdr>
    </w:div>
    <w:div w:id="570652099">
      <w:bodyDiv w:val="1"/>
      <w:marLeft w:val="0"/>
      <w:marRight w:val="0"/>
      <w:marTop w:val="0"/>
      <w:marBottom w:val="0"/>
      <w:divBdr>
        <w:top w:val="none" w:sz="0" w:space="0" w:color="auto"/>
        <w:left w:val="none" w:sz="0" w:space="0" w:color="auto"/>
        <w:bottom w:val="none" w:sz="0" w:space="0" w:color="auto"/>
        <w:right w:val="none" w:sz="0" w:space="0" w:color="auto"/>
      </w:divBdr>
    </w:div>
    <w:div w:id="782303300">
      <w:bodyDiv w:val="1"/>
      <w:marLeft w:val="0"/>
      <w:marRight w:val="0"/>
      <w:marTop w:val="0"/>
      <w:marBottom w:val="0"/>
      <w:divBdr>
        <w:top w:val="none" w:sz="0" w:space="0" w:color="auto"/>
        <w:left w:val="none" w:sz="0" w:space="0" w:color="auto"/>
        <w:bottom w:val="none" w:sz="0" w:space="0" w:color="auto"/>
        <w:right w:val="none" w:sz="0" w:space="0" w:color="auto"/>
      </w:divBdr>
    </w:div>
    <w:div w:id="792940155">
      <w:bodyDiv w:val="1"/>
      <w:marLeft w:val="0"/>
      <w:marRight w:val="0"/>
      <w:marTop w:val="0"/>
      <w:marBottom w:val="0"/>
      <w:divBdr>
        <w:top w:val="none" w:sz="0" w:space="0" w:color="auto"/>
        <w:left w:val="none" w:sz="0" w:space="0" w:color="auto"/>
        <w:bottom w:val="none" w:sz="0" w:space="0" w:color="auto"/>
        <w:right w:val="none" w:sz="0" w:space="0" w:color="auto"/>
      </w:divBdr>
    </w:div>
    <w:div w:id="887761070">
      <w:bodyDiv w:val="1"/>
      <w:marLeft w:val="0"/>
      <w:marRight w:val="0"/>
      <w:marTop w:val="0"/>
      <w:marBottom w:val="0"/>
      <w:divBdr>
        <w:top w:val="none" w:sz="0" w:space="0" w:color="auto"/>
        <w:left w:val="none" w:sz="0" w:space="0" w:color="auto"/>
        <w:bottom w:val="none" w:sz="0" w:space="0" w:color="auto"/>
        <w:right w:val="none" w:sz="0" w:space="0" w:color="auto"/>
      </w:divBdr>
    </w:div>
    <w:div w:id="1022393632">
      <w:bodyDiv w:val="1"/>
      <w:marLeft w:val="0"/>
      <w:marRight w:val="0"/>
      <w:marTop w:val="0"/>
      <w:marBottom w:val="0"/>
      <w:divBdr>
        <w:top w:val="none" w:sz="0" w:space="0" w:color="auto"/>
        <w:left w:val="none" w:sz="0" w:space="0" w:color="auto"/>
        <w:bottom w:val="none" w:sz="0" w:space="0" w:color="auto"/>
        <w:right w:val="none" w:sz="0" w:space="0" w:color="auto"/>
      </w:divBdr>
    </w:div>
    <w:div w:id="1310867741">
      <w:bodyDiv w:val="1"/>
      <w:marLeft w:val="0"/>
      <w:marRight w:val="0"/>
      <w:marTop w:val="0"/>
      <w:marBottom w:val="0"/>
      <w:divBdr>
        <w:top w:val="none" w:sz="0" w:space="0" w:color="auto"/>
        <w:left w:val="none" w:sz="0" w:space="0" w:color="auto"/>
        <w:bottom w:val="none" w:sz="0" w:space="0" w:color="auto"/>
        <w:right w:val="none" w:sz="0" w:space="0" w:color="auto"/>
      </w:divBdr>
    </w:div>
    <w:div w:id="1350060770">
      <w:bodyDiv w:val="1"/>
      <w:marLeft w:val="0"/>
      <w:marRight w:val="0"/>
      <w:marTop w:val="0"/>
      <w:marBottom w:val="0"/>
      <w:divBdr>
        <w:top w:val="none" w:sz="0" w:space="0" w:color="auto"/>
        <w:left w:val="none" w:sz="0" w:space="0" w:color="auto"/>
        <w:bottom w:val="none" w:sz="0" w:space="0" w:color="auto"/>
        <w:right w:val="none" w:sz="0" w:space="0" w:color="auto"/>
      </w:divBdr>
    </w:div>
    <w:div w:id="1356730654">
      <w:bodyDiv w:val="1"/>
      <w:marLeft w:val="0"/>
      <w:marRight w:val="0"/>
      <w:marTop w:val="0"/>
      <w:marBottom w:val="0"/>
      <w:divBdr>
        <w:top w:val="none" w:sz="0" w:space="0" w:color="auto"/>
        <w:left w:val="none" w:sz="0" w:space="0" w:color="auto"/>
        <w:bottom w:val="none" w:sz="0" w:space="0" w:color="auto"/>
        <w:right w:val="none" w:sz="0" w:space="0" w:color="auto"/>
      </w:divBdr>
    </w:div>
    <w:div w:id="1424884999">
      <w:bodyDiv w:val="1"/>
      <w:marLeft w:val="0"/>
      <w:marRight w:val="0"/>
      <w:marTop w:val="0"/>
      <w:marBottom w:val="0"/>
      <w:divBdr>
        <w:top w:val="none" w:sz="0" w:space="0" w:color="auto"/>
        <w:left w:val="none" w:sz="0" w:space="0" w:color="auto"/>
        <w:bottom w:val="none" w:sz="0" w:space="0" w:color="auto"/>
        <w:right w:val="none" w:sz="0" w:space="0" w:color="auto"/>
      </w:divBdr>
    </w:div>
    <w:div w:id="1425222883">
      <w:bodyDiv w:val="1"/>
      <w:marLeft w:val="0"/>
      <w:marRight w:val="0"/>
      <w:marTop w:val="0"/>
      <w:marBottom w:val="0"/>
      <w:divBdr>
        <w:top w:val="none" w:sz="0" w:space="0" w:color="auto"/>
        <w:left w:val="none" w:sz="0" w:space="0" w:color="auto"/>
        <w:bottom w:val="none" w:sz="0" w:space="0" w:color="auto"/>
        <w:right w:val="none" w:sz="0" w:space="0" w:color="auto"/>
      </w:divBdr>
    </w:div>
    <w:div w:id="1569807178">
      <w:bodyDiv w:val="1"/>
      <w:marLeft w:val="0"/>
      <w:marRight w:val="0"/>
      <w:marTop w:val="0"/>
      <w:marBottom w:val="0"/>
      <w:divBdr>
        <w:top w:val="none" w:sz="0" w:space="0" w:color="auto"/>
        <w:left w:val="none" w:sz="0" w:space="0" w:color="auto"/>
        <w:bottom w:val="none" w:sz="0" w:space="0" w:color="auto"/>
        <w:right w:val="none" w:sz="0" w:space="0" w:color="auto"/>
      </w:divBdr>
    </w:div>
    <w:div w:id="1698265269">
      <w:bodyDiv w:val="1"/>
      <w:marLeft w:val="0"/>
      <w:marRight w:val="0"/>
      <w:marTop w:val="0"/>
      <w:marBottom w:val="0"/>
      <w:divBdr>
        <w:top w:val="none" w:sz="0" w:space="0" w:color="auto"/>
        <w:left w:val="none" w:sz="0" w:space="0" w:color="auto"/>
        <w:bottom w:val="none" w:sz="0" w:space="0" w:color="auto"/>
        <w:right w:val="none" w:sz="0" w:space="0" w:color="auto"/>
      </w:divBdr>
    </w:div>
    <w:div w:id="1841432516">
      <w:bodyDiv w:val="1"/>
      <w:marLeft w:val="0"/>
      <w:marRight w:val="0"/>
      <w:marTop w:val="0"/>
      <w:marBottom w:val="0"/>
      <w:divBdr>
        <w:top w:val="none" w:sz="0" w:space="0" w:color="auto"/>
        <w:left w:val="none" w:sz="0" w:space="0" w:color="auto"/>
        <w:bottom w:val="none" w:sz="0" w:space="0" w:color="auto"/>
        <w:right w:val="none" w:sz="0" w:space="0" w:color="auto"/>
      </w:divBdr>
    </w:div>
    <w:div w:id="196300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entina.gob.ar/senasa/micrositios/hlb"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gentina.gob.ar/senasa/micrositios/hlb"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rgentina.gob.ar/senasa/micrositios/hl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rgentina.gob.ar/senasa/micrositios/hlb"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84597-ECC6-4C0A-8395-616454FC7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1524</Words>
  <Characters>8387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2020-12-03T16:43:00Z</dcterms:created>
  <dcterms:modified xsi:type="dcterms:W3CDTF">2020-12-21T19:03:00Z</dcterms:modified>
</cp:coreProperties>
</file>