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BB" w:rsidRDefault="00B759BB" w:rsidP="00B759BB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r>
        <w:rPr>
          <w:rFonts w:ascii="Arial" w:hAnsi="Arial" w:cs="Arial"/>
          <w:b/>
          <w:sz w:val="22"/>
          <w:szCs w:val="22"/>
          <w:u w:val="single"/>
          <w:lang w:val="es-AR"/>
        </w:rPr>
        <w:t>MOVIMIENTOS FINANCIEROS (CAJA Y BANCOS)</w:t>
      </w:r>
    </w:p>
    <w:p w:rsidR="00B759BB" w:rsidRDefault="00B759BB" w:rsidP="00B759BB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  <w:r>
        <w:rPr>
          <w:rFonts w:ascii="Arial" w:hAnsi="Arial" w:cs="Arial"/>
          <w:b/>
          <w:sz w:val="22"/>
          <w:szCs w:val="22"/>
          <w:u w:val="single"/>
          <w:lang w:val="es-AR"/>
        </w:rPr>
        <w:t xml:space="preserve">CORRESPONDINTES AL EJERCICIO FISCAL QUE SE CIERRA: </w:t>
      </w:r>
    </w:p>
    <w:p w:rsidR="00B759BB" w:rsidRDefault="00B759BB" w:rsidP="00B759BB">
      <w:pPr>
        <w:jc w:val="center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B759BB" w:rsidRDefault="00B759BB" w:rsidP="00B759BB">
      <w:pPr>
        <w:tabs>
          <w:tab w:val="left" w:pos="1627"/>
        </w:tabs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ab/>
      </w:r>
    </w:p>
    <w:p w:rsidR="00B759BB" w:rsidRDefault="00B759BB" w:rsidP="00B759BB">
      <w:pPr>
        <w:pStyle w:val="Ttulo7"/>
      </w:pPr>
      <w:r>
        <w:t>OBJETIVO DEL CUADRO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pStyle w:val="Sangradetexto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Exponer, con base Caja (</w:t>
      </w:r>
      <w:r>
        <w:rPr>
          <w:rFonts w:ascii="Arial" w:hAnsi="Arial" w:cs="Arial"/>
          <w:bCs/>
          <w:sz w:val="22"/>
          <w:szCs w:val="22"/>
        </w:rPr>
        <w:t>movimientos financieros</w:t>
      </w:r>
      <w:r>
        <w:rPr>
          <w:rFonts w:ascii="Arial" w:hAnsi="Arial" w:cs="Arial"/>
          <w:sz w:val="22"/>
          <w:szCs w:val="22"/>
        </w:rPr>
        <w:t>), el movimiento consolidado de fondos presupuestarios y no presupuestarios operado por cada Servicio Administrativo-Financiero durante el ejercicio que se informa.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pStyle w:val="Ttulo7"/>
        <w:rPr>
          <w:lang w:val="es-AR"/>
        </w:rPr>
      </w:pPr>
      <w:r>
        <w:t>ACLARACIONES PRELIMINARES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pStyle w:val="Ttulo1"/>
        <w:pBdr>
          <w:bottom w:val="none" w:sz="0" w:space="0" w:color="auto"/>
        </w:pBdr>
        <w:rPr>
          <w:rFonts w:ascii="Arial" w:hAnsi="Arial" w:cs="Arial"/>
          <w:b w:val="0"/>
          <w:bCs/>
          <w:sz w:val="22"/>
          <w:szCs w:val="22"/>
          <w:u w:val="single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Aspectos Generales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denominará “Libro” al archivo Excel que guarda la información de los cuadros.</w:t>
      </w:r>
      <w:r>
        <w:rPr>
          <w:rFonts w:ascii="Arial" w:hAnsi="Arial" w:cs="Arial"/>
          <w:sz w:val="22"/>
          <w:szCs w:val="22"/>
          <w:lang w:val="es-AR"/>
        </w:rPr>
        <w:br/>
        <w:t>Se denominará “Hoja” a cada una de las sub-planillas de cálculo que contiene el Libro respectivo.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El Libro que contiene la información de los cuadros se denomina “Cuadro01”, extensión XLS. El Organismo deberá grabar el Libro bajo el nombre “nnnCuadro01”, extensión XLS, siendo “</w:t>
      </w:r>
      <w:proofErr w:type="spellStart"/>
      <w:r>
        <w:rPr>
          <w:rFonts w:ascii="Arial" w:hAnsi="Arial" w:cs="Arial"/>
          <w:sz w:val="22"/>
          <w:szCs w:val="22"/>
          <w:lang w:val="es-AR"/>
        </w:rPr>
        <w:t>nnn</w:t>
      </w:r>
      <w:proofErr w:type="spellEnd"/>
      <w:r>
        <w:rPr>
          <w:rFonts w:ascii="Arial" w:hAnsi="Arial" w:cs="Arial"/>
          <w:sz w:val="22"/>
          <w:szCs w:val="22"/>
          <w:lang w:val="es-AR"/>
        </w:rPr>
        <w:t>” igual al número del Servicio Administrativo-Financiero involucrado.</w:t>
      </w:r>
    </w:p>
    <w:p w:rsidR="00B759BB" w:rsidRDefault="00B759BB" w:rsidP="00B759BB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Por ejemplo, para el Servicio Administrativo-Financiero Nº 348, el Libro deberá ser grabado como “348Cuadro01”, extensión XLS.</w:t>
      </w:r>
    </w:p>
    <w:p w:rsidR="00B759BB" w:rsidRDefault="00B759BB" w:rsidP="00B759BB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Todas las Hojas del Libro se encuentran protegidas contra escritura, encontrándose habilitadas exclusivamente aquellas celdas en las que el Servicio Administrativo-Financiero debe ingresar información.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En la Hoja “Datos Generales”, el Servicio Administrativo-Financiero deberá ingresar el </w:t>
      </w:r>
      <w:proofErr w:type="spellStart"/>
      <w:proofErr w:type="gramStart"/>
      <w:r>
        <w:rPr>
          <w:rFonts w:ascii="Arial" w:hAnsi="Arial" w:cs="Arial"/>
          <w:sz w:val="22"/>
          <w:szCs w:val="22"/>
          <w:lang w:val="es-AR"/>
        </w:rPr>
        <w:t>numero</w:t>
      </w:r>
      <w:proofErr w:type="spellEnd"/>
      <w:proofErr w:type="gramEnd"/>
      <w:r>
        <w:rPr>
          <w:rFonts w:ascii="Arial" w:hAnsi="Arial" w:cs="Arial"/>
          <w:sz w:val="22"/>
          <w:szCs w:val="22"/>
          <w:lang w:val="es-AR"/>
        </w:rPr>
        <w:t xml:space="preserve"> y la descripción del mismo, y los datos de tres funcionarios que sean referentes para evacuar cualquier consulta respecto de los Cuadros que contiene el Libro.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pStyle w:val="Ttulo1"/>
        <w:pBdr>
          <w:bottom w:val="none" w:sz="0" w:space="0" w:color="auto"/>
        </w:pBdr>
        <w:rPr>
          <w:rFonts w:ascii="Arial" w:hAnsi="Arial" w:cs="Arial"/>
          <w:b w:val="0"/>
          <w:bCs/>
          <w:sz w:val="22"/>
          <w:szCs w:val="22"/>
          <w:u w:val="single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Aspectos Particulares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pStyle w:val="Ttulo1"/>
        <w:pBdr>
          <w:bottom w:val="none" w:sz="0" w:space="0" w:color="auto"/>
        </w:pBdr>
        <w:ind w:left="426"/>
        <w:rPr>
          <w:rFonts w:ascii="Arial" w:hAnsi="Arial" w:cs="Arial"/>
          <w:b w:val="0"/>
          <w:bCs/>
          <w:sz w:val="22"/>
          <w:szCs w:val="22"/>
          <w:u w:val="single"/>
        </w:rPr>
      </w:pPr>
      <w:r>
        <w:rPr>
          <w:rFonts w:ascii="Arial" w:hAnsi="Arial" w:cs="Arial"/>
          <w:b w:val="0"/>
          <w:bCs/>
          <w:sz w:val="22"/>
          <w:szCs w:val="22"/>
          <w:u w:val="single"/>
        </w:rPr>
        <w:t>Anexo A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Las Hojas “Cuadro 1.a-H.1” a “Cuadro 1.a-H.4” representan 4 (cuatro) páginas de un mismo anexo denominado “Cuadro 1.a”, por lo que el Organismo deberá comenzar por ingresar información en la Hoja “Cuadro 1.a-H.1” y, en caso de completar la totalidad de líneas de la misma, continuar por la Hoja “Cuadro 1.a-H.2” y así sucesivamente.</w:t>
      </w:r>
    </w:p>
    <w:p w:rsidR="00B759BB" w:rsidRDefault="00B759BB" w:rsidP="00B759BB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De estas 4 (cuatro) Hojas, sólo deberán imprimirse y presentarse ante la Contaduría General de la Nación aquéllas que hayan sido utilizadas.</w:t>
      </w:r>
    </w:p>
    <w:p w:rsidR="00B759BB" w:rsidRDefault="00B759BB" w:rsidP="00B759BB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las Hojas “Cuadro 1.a-H.1” a “Cuadro 1.a-H.4”, el Servicio Administrativo-Financiero deberá ingresar los Datos de las Cuentas Bancarias, los Movimientos del Ejercicio según Registros Contables, los Saldos al 31 de Diciembre del ejercicio que se cierra, según Extracto, y el Responsable de la Cuenta, según se explica en las “Instrucciones para la confección del cuadro”.</w:t>
      </w:r>
    </w:p>
    <w:p w:rsidR="00B759BB" w:rsidRPr="00597289" w:rsidRDefault="00B759BB" w:rsidP="00B759BB">
      <w:pPr>
        <w:pStyle w:val="Sangra2detindependiente"/>
        <w:rPr>
          <w:rFonts w:ascii="Arial" w:hAnsi="Arial" w:cs="Arial"/>
          <w:i/>
          <w:iCs/>
          <w:sz w:val="22"/>
          <w:szCs w:val="22"/>
        </w:rPr>
      </w:pPr>
    </w:p>
    <w:p w:rsidR="00B759BB" w:rsidRPr="00597289" w:rsidRDefault="00B759BB" w:rsidP="00B759BB">
      <w:pPr>
        <w:pStyle w:val="Sangra2detindependiente"/>
        <w:rPr>
          <w:rFonts w:ascii="Arial" w:hAnsi="Arial" w:cs="Arial"/>
          <w:i/>
          <w:iCs/>
          <w:sz w:val="22"/>
          <w:szCs w:val="22"/>
        </w:rPr>
      </w:pPr>
      <w:r w:rsidRPr="00597289">
        <w:rPr>
          <w:rFonts w:ascii="Arial" w:hAnsi="Arial" w:cs="Arial"/>
          <w:i/>
          <w:iCs/>
          <w:sz w:val="22"/>
          <w:szCs w:val="22"/>
        </w:rPr>
        <w:t xml:space="preserve">Las cuentas bancarias operadas por las UEPEX que actúan bajo la Órbita del Servicio Administrativo-Financiero, las cuales son informadas a través del “Cuadro 13.2”, se expondrán al final del detalle, en una sola línea equivalente al </w:t>
      </w:r>
      <w:r w:rsidRPr="00597289">
        <w:rPr>
          <w:rFonts w:ascii="Arial" w:hAnsi="Arial" w:cs="Arial"/>
          <w:i/>
          <w:iCs/>
          <w:sz w:val="22"/>
          <w:szCs w:val="22"/>
        </w:rPr>
        <w:lastRenderedPageBreak/>
        <w:t>total en pesos ($), Movimientos y Saldos, del referido cuadro13.2; indicando que: “El detalle de los saldos de las cuenta UEPEX obran en el Cuadro 13.2.”</w:t>
      </w:r>
    </w:p>
    <w:p w:rsidR="00B759BB" w:rsidRPr="00597289" w:rsidRDefault="00B759BB" w:rsidP="00B759BB">
      <w:pPr>
        <w:pStyle w:val="Sangra2detindependiente"/>
        <w:rPr>
          <w:rFonts w:ascii="Arial" w:hAnsi="Arial" w:cs="Arial"/>
          <w:i/>
          <w:iCs/>
          <w:sz w:val="22"/>
          <w:szCs w:val="22"/>
        </w:rPr>
      </w:pPr>
      <w:r w:rsidRPr="00597289">
        <w:rPr>
          <w:rFonts w:ascii="Arial" w:hAnsi="Arial" w:cs="Arial"/>
          <w:i/>
          <w:iCs/>
          <w:sz w:val="22"/>
          <w:szCs w:val="22"/>
        </w:rPr>
        <w:t>El total de este cuadro, incluyendo en una línea los saldos UEPEX, deberá coincidir con el saldo del Balance General.</w:t>
      </w:r>
    </w:p>
    <w:p w:rsidR="00B759BB" w:rsidRPr="00597289" w:rsidRDefault="00B759BB" w:rsidP="00B759BB">
      <w:pPr>
        <w:pStyle w:val="Sangra2detindependiente"/>
        <w:rPr>
          <w:rFonts w:ascii="Arial" w:hAnsi="Arial" w:cs="Arial"/>
          <w:b w:val="0"/>
          <w:bCs w:val="0"/>
          <w:i/>
          <w:iCs/>
          <w:sz w:val="22"/>
          <w:szCs w:val="22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Los importes correspondientes al HABER, en todos los casos deberán exponerse con signo positivo (+).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caso que algún Saldo contable al 31 de diciembre anterior al que se cierra, tenga importe negativo, el mismo deberá exponerse con su signo, es decir, negativo (-).</w:t>
      </w:r>
    </w:p>
    <w:p w:rsidR="00B759BB" w:rsidRDefault="00B759BB" w:rsidP="00B759BB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Ello es también aplicable para el caso de los Saldos al 31 de Diciembre del ejercicio que se cierra según Extracto.</w:t>
      </w:r>
    </w:p>
    <w:p w:rsidR="00B759BB" w:rsidRDefault="00B759BB" w:rsidP="00B759BB">
      <w:pPr>
        <w:ind w:left="360"/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Los importes correspondientes a la columna “Saldo al 31 de diciembre del ejercicio que se cierra”, y a las filas “Totales”, se calculan automáticamente a partir de la información ingresada en la desagregación de Saldos al 31 de diciembre del ejercicio anterior al que se cierra y en el detalle del Debe y del Haber.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pStyle w:val="Ttulo6"/>
      </w:pPr>
      <w:r>
        <w:t>INSTRUCCIONES para la confección del Cuadro 1-Anexo A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</w:rPr>
      </w:pPr>
    </w:p>
    <w:p w:rsidR="00B759BB" w:rsidRDefault="00B759BB" w:rsidP="00B759BB">
      <w:pPr>
        <w:pStyle w:val="Ttulo2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1. DATOS DE LA CUENTA BANCARIA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ingresarán los datos que identifiquen a la cuenta bancaria cuyos movimientos se informan.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1.01. Número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Código de la cuenta bancaria que figura en el Extracto respectivo, respetando el formato “cuenta/subcuenta”.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1.02. Tipo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Se informará 1, si es Cuenta Corriente (incluyendo las Cuentas Recaudadoras), 2, si es Caja de Ahorro, </w:t>
      </w:r>
      <w:proofErr w:type="spellStart"/>
      <w:r>
        <w:rPr>
          <w:rFonts w:ascii="Arial" w:hAnsi="Arial" w:cs="Arial"/>
          <w:sz w:val="22"/>
          <w:szCs w:val="22"/>
          <w:lang w:val="es-AR"/>
        </w:rPr>
        <w:t>ó</w:t>
      </w:r>
      <w:proofErr w:type="spellEnd"/>
      <w:r>
        <w:rPr>
          <w:rFonts w:ascii="Arial" w:hAnsi="Arial" w:cs="Arial"/>
          <w:sz w:val="22"/>
          <w:szCs w:val="22"/>
          <w:lang w:val="es-AR"/>
        </w:rPr>
        <w:t xml:space="preserve"> 3, si es Cuenta Escritural.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1.03. Banco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Código del Banco en el que se halla radicada la Cuenta, según la codificación utilizada por el SIDIF.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el caso de cuentas escriturales, se informará como código el 999.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1.04. Sucursal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Código de la Sucursal del Banco en la que se halla radicada la Cuenta, según la codificación utilizada por el SIDIF.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En el caso de cuentas escriturales, se informará como código el 0000.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1.05. Descripción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Denominación de la cuenta bancaria que figura en el Extracto respectivo.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1.06. Fuente de Financiamiento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indicará la/s fuente/s de financiamiento que corresponda/n a los fondos declarados para cada cuenta bancaria.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br w:type="page"/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lastRenderedPageBreak/>
        <w:t>1.07. Clase de cuenta (R; FR; FT; CP; Vs)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En este caso se marcará con una “X” </w:t>
      </w:r>
      <w:r>
        <w:rPr>
          <w:rFonts w:ascii="Arial" w:hAnsi="Arial" w:cs="Arial"/>
          <w:bCs/>
          <w:sz w:val="22"/>
          <w:szCs w:val="22"/>
          <w:lang w:val="es-AR"/>
        </w:rPr>
        <w:t>Mayúscula</w:t>
      </w:r>
      <w:r>
        <w:rPr>
          <w:rFonts w:ascii="Arial" w:hAnsi="Arial" w:cs="Arial"/>
          <w:sz w:val="22"/>
          <w:szCs w:val="22"/>
          <w:lang w:val="es-AR"/>
        </w:rPr>
        <w:t xml:space="preserve"> la/s casilla correspondiente/s, según sea la cuenta bancaria: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Recaudadora (R)</w:t>
      </w:r>
    </w:p>
    <w:p w:rsidR="00B759BB" w:rsidRDefault="00B759BB" w:rsidP="00B759B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Fondo Rotatorio (FR)</w:t>
      </w:r>
    </w:p>
    <w:p w:rsidR="00B759BB" w:rsidRDefault="00B759BB" w:rsidP="00B759B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Fondos de Terceros (FT)</w:t>
      </w:r>
    </w:p>
    <w:p w:rsidR="00B759BB" w:rsidRDefault="00B759BB" w:rsidP="00B759B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Cargos al Personal (CP)</w:t>
      </w:r>
    </w:p>
    <w:p w:rsidR="00B759BB" w:rsidRDefault="00B759BB" w:rsidP="00B759B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Otros varios no especificados (Vs).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Para cada cuenta bancaria podrán marcarse una </w:t>
      </w:r>
      <w:proofErr w:type="spellStart"/>
      <w:r>
        <w:rPr>
          <w:rFonts w:ascii="Arial" w:hAnsi="Arial" w:cs="Arial"/>
          <w:sz w:val="22"/>
          <w:szCs w:val="22"/>
          <w:lang w:val="es-AR"/>
        </w:rPr>
        <w:t>ó</w:t>
      </w:r>
      <w:proofErr w:type="spellEnd"/>
      <w:r>
        <w:rPr>
          <w:rFonts w:ascii="Arial" w:hAnsi="Arial" w:cs="Arial"/>
          <w:sz w:val="22"/>
          <w:szCs w:val="22"/>
          <w:lang w:val="es-AR"/>
        </w:rPr>
        <w:t xml:space="preserve"> más casillas, según sea el carácter de la cuenta.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Por ejemplo, en el caso que a través de una misma cuenta bancaria se canalicen fondos de terceros y fondo rotatorio, se marcarán ambas casillas (FT y FR).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Las Cuentas Recaudadoras, aunque reciban Fondos de Terceros, serán clasificadas exclusivamente como “Recaudadora (R)”.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Las Cuentas Escriturales, en todos los casos, serán informadas como “Recaudadora (R)”.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 MOVIMIENTOS DEL EJERCICIO SEGÚN REGISTROS CONTABLES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Se ingresarán los importes que exterioricen los movimientos de cada una de las cuentas bancarias, </w:t>
      </w:r>
      <w:r>
        <w:rPr>
          <w:rFonts w:ascii="Arial" w:hAnsi="Arial" w:cs="Arial"/>
          <w:b/>
          <w:bCs/>
          <w:sz w:val="22"/>
          <w:szCs w:val="22"/>
          <w:lang w:val="es-AR"/>
        </w:rPr>
        <w:t>para  el ejercicio que se cierra</w:t>
      </w:r>
      <w:r>
        <w:rPr>
          <w:rFonts w:ascii="Arial" w:hAnsi="Arial" w:cs="Arial"/>
          <w:sz w:val="22"/>
          <w:szCs w:val="22"/>
          <w:lang w:val="es-AR"/>
        </w:rPr>
        <w:t>, según los registros contables del Servicio Administrativo-Financiero.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2.01. SALDO AL INICIO DEL EJERCICIO.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ingresará, para cada cuenta bancaria, el saldo contable al 31 de Diciembre del ejercicio anterior al que se cierra, atendiendo en lo expuesto en la aclaración preliminar 8).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2.02. Debe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Movimientos que, para cada cuenta bancaria y según los registros contables, incrementaron el saldo durante el ejercicio.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2.03. Haber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 xml:space="preserve">Movimientos que, para cada cuenta bancaria y según los registros contables, disminuyeron el saldo durante el ejercicio, atendiendo a lo expuesto en la aclaración preliminar 7). 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3. SALDO AL 31 CIERRE DE EJERCICIO SEGÚN EXTRACTO</w:t>
      </w:r>
    </w:p>
    <w:p w:rsidR="00B759BB" w:rsidRDefault="00B759BB" w:rsidP="00B759BB">
      <w:pPr>
        <w:pStyle w:val="Textoindependien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ingresará, para cada cuenta bancaria, el saldo que arroje el Extracto Bancario respectivo al 31 de diciembre del ejercicio que se cierra.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4. RESPONSABLE DE LA CUENTA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  <w:r>
        <w:rPr>
          <w:rFonts w:ascii="Arial" w:hAnsi="Arial" w:cs="Arial"/>
          <w:sz w:val="22"/>
          <w:szCs w:val="22"/>
          <w:lang w:val="es-AR"/>
        </w:rPr>
        <w:t>Se indicará una sigla (sin puntos separadores y con MAYÚSCULAS) que referencie al responsable de la cuenta, detallando en nota anexa el significado de cada sigla.</w:t>
      </w:r>
    </w:p>
    <w:p w:rsidR="00B759BB" w:rsidRDefault="00B759BB" w:rsidP="00B759BB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B759BB" w:rsidRDefault="00B759BB" w:rsidP="00B759BB">
      <w:pPr>
        <w:pStyle w:val="Textoindependiente2"/>
        <w:rPr>
          <w:rFonts w:ascii="Arial" w:hAnsi="Arial" w:cs="Arial"/>
          <w:b w:val="0"/>
          <w:bCs/>
          <w:caps/>
          <w:sz w:val="22"/>
          <w:szCs w:val="22"/>
        </w:rPr>
      </w:pPr>
      <w:r>
        <w:rPr>
          <w:rFonts w:ascii="Arial" w:hAnsi="Arial" w:cs="Arial"/>
          <w:b w:val="0"/>
          <w:caps/>
          <w:sz w:val="22"/>
          <w:szCs w:val="22"/>
        </w:rPr>
        <w:t>Asimismo, y por cada cuenta bancaria, se deberá acompañar la conciliación bancaria pertinente al cierre del período y copia del último extracto bancario correspondiente, EXCEPTO para el caso de organismos descentralizados que informen los saldos bancarios de las UNIDADES ejecutoras de prestamos externos que operen bajo su orbita.</w:t>
      </w:r>
    </w:p>
    <w:p w:rsidR="00113406" w:rsidRPr="00B759BB" w:rsidRDefault="00442F25">
      <w:pPr>
        <w:rPr>
          <w:lang w:val="es-AR"/>
        </w:rPr>
      </w:pPr>
      <w:bookmarkStart w:id="0" w:name="_GoBack"/>
      <w:bookmarkEnd w:id="0"/>
    </w:p>
    <w:sectPr w:rsidR="00113406" w:rsidRPr="00B759BB">
      <w:headerReference w:type="default" r:id="rId8"/>
      <w:pgSz w:w="11907" w:h="16840" w:code="9"/>
      <w:pgMar w:top="2268" w:right="567" w:bottom="1134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BB" w:rsidRDefault="00B759BB" w:rsidP="00CC0A27">
      <w:r>
        <w:separator/>
      </w:r>
    </w:p>
  </w:endnote>
  <w:endnote w:type="continuationSeparator" w:id="0">
    <w:p w:rsidR="00B759BB" w:rsidRDefault="00B759BB" w:rsidP="00CC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BB" w:rsidRDefault="00B759BB" w:rsidP="00CC0A27">
      <w:r>
        <w:separator/>
      </w:r>
    </w:p>
  </w:footnote>
  <w:footnote w:type="continuationSeparator" w:id="0">
    <w:p w:rsidR="00B759BB" w:rsidRDefault="00B759BB" w:rsidP="00CC0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42F25">
    <w:pPr>
      <w:pStyle w:val="Encabezado"/>
      <w:jc w:val="right"/>
      <w:rPr>
        <w:rFonts w:ascii="Arial" w:hAnsi="Arial" w:cs="Arial"/>
        <w:b/>
        <w:sz w:val="22"/>
        <w:szCs w:val="22"/>
        <w:lang w:val="es-AR"/>
      </w:rPr>
    </w:pPr>
    <w:r>
      <w:rPr>
        <w:rFonts w:ascii="Arial" w:hAnsi="Arial" w:cs="Arial"/>
        <w:b/>
        <w:sz w:val="22"/>
        <w:szCs w:val="22"/>
        <w:lang w:val="es-AR"/>
      </w:rPr>
      <w:t>CUADRO 1 A</w:t>
    </w:r>
  </w:p>
  <w:p w:rsidR="00000000" w:rsidRDefault="00442F25">
    <w:pPr>
      <w:pStyle w:val="Encabezado"/>
      <w:jc w:val="right"/>
      <w:rPr>
        <w:b/>
        <w:sz w:val="24"/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6676"/>
    <w:multiLevelType w:val="singleLevel"/>
    <w:tmpl w:val="2092D5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52C382D"/>
    <w:multiLevelType w:val="singleLevel"/>
    <w:tmpl w:val="A84C06C8"/>
    <w:lvl w:ilvl="0">
      <w:start w:val="2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BB"/>
    <w:rsid w:val="00075C05"/>
    <w:rsid w:val="001A044D"/>
    <w:rsid w:val="001E7B3D"/>
    <w:rsid w:val="00296995"/>
    <w:rsid w:val="00336247"/>
    <w:rsid w:val="00341288"/>
    <w:rsid w:val="003B7C5B"/>
    <w:rsid w:val="004211AE"/>
    <w:rsid w:val="00442F25"/>
    <w:rsid w:val="004740CF"/>
    <w:rsid w:val="004D667A"/>
    <w:rsid w:val="00501E47"/>
    <w:rsid w:val="00511D88"/>
    <w:rsid w:val="005F640A"/>
    <w:rsid w:val="0066455C"/>
    <w:rsid w:val="006F7634"/>
    <w:rsid w:val="0070561B"/>
    <w:rsid w:val="0077593C"/>
    <w:rsid w:val="008118F7"/>
    <w:rsid w:val="008A156B"/>
    <w:rsid w:val="009A11E3"/>
    <w:rsid w:val="009A3EB6"/>
    <w:rsid w:val="009B7591"/>
    <w:rsid w:val="00B759BB"/>
    <w:rsid w:val="00B91156"/>
    <w:rsid w:val="00BE51B6"/>
    <w:rsid w:val="00C37D5E"/>
    <w:rsid w:val="00C52A86"/>
    <w:rsid w:val="00CC0A27"/>
    <w:rsid w:val="00CD0410"/>
    <w:rsid w:val="00CF4E0F"/>
    <w:rsid w:val="00D35049"/>
    <w:rsid w:val="00D567FC"/>
    <w:rsid w:val="00D80472"/>
    <w:rsid w:val="00E21501"/>
    <w:rsid w:val="00F24F92"/>
    <w:rsid w:val="00FB446E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9BB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B759BB"/>
    <w:pPr>
      <w:keepNext/>
      <w:pBdr>
        <w:bottom w:val="single" w:sz="4" w:space="1" w:color="auto"/>
      </w:pBdr>
      <w:jc w:val="both"/>
      <w:outlineLvl w:val="0"/>
    </w:pPr>
    <w:rPr>
      <w:b/>
      <w:sz w:val="24"/>
      <w:lang w:val="es-AR"/>
    </w:rPr>
  </w:style>
  <w:style w:type="paragraph" w:styleId="Ttulo2">
    <w:name w:val="heading 2"/>
    <w:basedOn w:val="Normal"/>
    <w:next w:val="Normal"/>
    <w:link w:val="Ttulo2Car"/>
    <w:qFormat/>
    <w:rsid w:val="00B759BB"/>
    <w:pPr>
      <w:keepNext/>
      <w:jc w:val="both"/>
      <w:outlineLvl w:val="1"/>
    </w:pPr>
    <w:rPr>
      <w:b/>
      <w:sz w:val="24"/>
      <w:lang w:val="es-AR"/>
    </w:rPr>
  </w:style>
  <w:style w:type="paragraph" w:styleId="Ttulo6">
    <w:name w:val="heading 6"/>
    <w:basedOn w:val="Normal"/>
    <w:next w:val="Normal"/>
    <w:link w:val="Ttulo6Car"/>
    <w:qFormat/>
    <w:rsid w:val="00B759BB"/>
    <w:pPr>
      <w:keepNext/>
      <w:jc w:val="center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Ttulo7">
    <w:name w:val="heading 7"/>
    <w:basedOn w:val="Normal"/>
    <w:next w:val="Normal"/>
    <w:link w:val="Ttulo7Car"/>
    <w:qFormat/>
    <w:rsid w:val="00B759BB"/>
    <w:pPr>
      <w:keepNext/>
      <w:jc w:val="center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B759BB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2Car">
    <w:name w:val="Título 2 Car"/>
    <w:basedOn w:val="Fuentedeprrafopredeter"/>
    <w:link w:val="Ttulo2"/>
    <w:rsid w:val="00B759BB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6Car">
    <w:name w:val="Título 6 Car"/>
    <w:basedOn w:val="Fuentedeprrafopredeter"/>
    <w:link w:val="Ttulo6"/>
    <w:rsid w:val="00B759BB"/>
    <w:rPr>
      <w:rFonts w:ascii="Arial" w:eastAsia="Times New Roman" w:hAnsi="Arial" w:cs="Arial"/>
      <w:b/>
      <w:bCs/>
      <w:u w:val="single"/>
      <w:lang w:eastAsia="es-ES"/>
    </w:rPr>
  </w:style>
  <w:style w:type="character" w:customStyle="1" w:styleId="Ttulo7Car">
    <w:name w:val="Título 7 Car"/>
    <w:basedOn w:val="Fuentedeprrafopredeter"/>
    <w:link w:val="Ttulo7"/>
    <w:rsid w:val="00B759BB"/>
    <w:rPr>
      <w:rFonts w:ascii="Arial" w:eastAsia="Times New Roman" w:hAnsi="Arial" w:cs="Arial"/>
      <w:b/>
      <w:bCs/>
      <w:lang w:eastAsia="es-ES"/>
    </w:rPr>
  </w:style>
  <w:style w:type="paragraph" w:styleId="Textoindependiente">
    <w:name w:val="Body Text"/>
    <w:basedOn w:val="Normal"/>
    <w:link w:val="TextoindependienteCar"/>
    <w:semiHidden/>
    <w:rsid w:val="00B759BB"/>
    <w:pPr>
      <w:jc w:val="both"/>
    </w:pPr>
    <w:rPr>
      <w:sz w:val="24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759BB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Textoindependiente2">
    <w:name w:val="Body Text 2"/>
    <w:basedOn w:val="Normal"/>
    <w:link w:val="Textoindependiente2Car"/>
    <w:semiHidden/>
    <w:rsid w:val="00B759BB"/>
    <w:pPr>
      <w:jc w:val="both"/>
    </w:pPr>
    <w:rPr>
      <w:b/>
      <w:sz w:val="24"/>
      <w:lang w:val="es-AR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B759BB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paragraph" w:styleId="Sangradetextonormal">
    <w:name w:val="Body Text Indent"/>
    <w:basedOn w:val="Normal"/>
    <w:link w:val="SangradetextonormalCar"/>
    <w:semiHidden/>
    <w:rsid w:val="00B759BB"/>
    <w:pPr>
      <w:ind w:firstLine="708"/>
      <w:jc w:val="both"/>
    </w:pPr>
    <w:rPr>
      <w:sz w:val="24"/>
      <w:lang w:val="es-AR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759BB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Sangra2detindependiente">
    <w:name w:val="Body Text Indent 2"/>
    <w:basedOn w:val="Normal"/>
    <w:link w:val="Sangra2detindependienteCar"/>
    <w:semiHidden/>
    <w:rsid w:val="00B759BB"/>
    <w:pPr>
      <w:ind w:left="360"/>
      <w:jc w:val="both"/>
    </w:pPr>
    <w:rPr>
      <w:b/>
      <w:bCs/>
      <w:sz w:val="24"/>
      <w:lang w:val="es-AR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B759BB"/>
    <w:rPr>
      <w:rFonts w:ascii="Times New Roman" w:eastAsia="Times New Roman" w:hAnsi="Times New Roman" w:cs="Times New Roman"/>
      <w:b/>
      <w:bCs/>
      <w:sz w:val="24"/>
      <w:szCs w:val="20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9BB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B759BB"/>
    <w:pPr>
      <w:keepNext/>
      <w:pBdr>
        <w:bottom w:val="single" w:sz="4" w:space="1" w:color="auto"/>
      </w:pBdr>
      <w:jc w:val="both"/>
      <w:outlineLvl w:val="0"/>
    </w:pPr>
    <w:rPr>
      <w:b/>
      <w:sz w:val="24"/>
      <w:lang w:val="es-AR"/>
    </w:rPr>
  </w:style>
  <w:style w:type="paragraph" w:styleId="Ttulo2">
    <w:name w:val="heading 2"/>
    <w:basedOn w:val="Normal"/>
    <w:next w:val="Normal"/>
    <w:link w:val="Ttulo2Car"/>
    <w:qFormat/>
    <w:rsid w:val="00B759BB"/>
    <w:pPr>
      <w:keepNext/>
      <w:jc w:val="both"/>
      <w:outlineLvl w:val="1"/>
    </w:pPr>
    <w:rPr>
      <w:b/>
      <w:sz w:val="24"/>
      <w:lang w:val="es-AR"/>
    </w:rPr>
  </w:style>
  <w:style w:type="paragraph" w:styleId="Ttulo6">
    <w:name w:val="heading 6"/>
    <w:basedOn w:val="Normal"/>
    <w:next w:val="Normal"/>
    <w:link w:val="Ttulo6Car"/>
    <w:qFormat/>
    <w:rsid w:val="00B759BB"/>
    <w:pPr>
      <w:keepNext/>
      <w:jc w:val="center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Ttulo7">
    <w:name w:val="heading 7"/>
    <w:basedOn w:val="Normal"/>
    <w:next w:val="Normal"/>
    <w:link w:val="Ttulo7Car"/>
    <w:qFormat/>
    <w:rsid w:val="00B759BB"/>
    <w:pPr>
      <w:keepNext/>
      <w:jc w:val="center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C0A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0A27"/>
  </w:style>
  <w:style w:type="paragraph" w:styleId="Piedepgina">
    <w:name w:val="footer"/>
    <w:basedOn w:val="Normal"/>
    <w:link w:val="PiedepginaCar"/>
    <w:uiPriority w:val="99"/>
    <w:unhideWhenUsed/>
    <w:rsid w:val="00CC0A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0A27"/>
  </w:style>
  <w:style w:type="paragraph" w:styleId="Textodeglobo">
    <w:name w:val="Balloon Text"/>
    <w:basedOn w:val="Normal"/>
    <w:link w:val="TextodegloboCar"/>
    <w:uiPriority w:val="99"/>
    <w:semiHidden/>
    <w:unhideWhenUsed/>
    <w:rsid w:val="00FC1D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D9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B759BB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2Car">
    <w:name w:val="Título 2 Car"/>
    <w:basedOn w:val="Fuentedeprrafopredeter"/>
    <w:link w:val="Ttulo2"/>
    <w:rsid w:val="00B759BB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character" w:customStyle="1" w:styleId="Ttulo6Car">
    <w:name w:val="Título 6 Car"/>
    <w:basedOn w:val="Fuentedeprrafopredeter"/>
    <w:link w:val="Ttulo6"/>
    <w:rsid w:val="00B759BB"/>
    <w:rPr>
      <w:rFonts w:ascii="Arial" w:eastAsia="Times New Roman" w:hAnsi="Arial" w:cs="Arial"/>
      <w:b/>
      <w:bCs/>
      <w:u w:val="single"/>
      <w:lang w:eastAsia="es-ES"/>
    </w:rPr>
  </w:style>
  <w:style w:type="character" w:customStyle="1" w:styleId="Ttulo7Car">
    <w:name w:val="Título 7 Car"/>
    <w:basedOn w:val="Fuentedeprrafopredeter"/>
    <w:link w:val="Ttulo7"/>
    <w:rsid w:val="00B759BB"/>
    <w:rPr>
      <w:rFonts w:ascii="Arial" w:eastAsia="Times New Roman" w:hAnsi="Arial" w:cs="Arial"/>
      <w:b/>
      <w:bCs/>
      <w:lang w:eastAsia="es-ES"/>
    </w:rPr>
  </w:style>
  <w:style w:type="paragraph" w:styleId="Textoindependiente">
    <w:name w:val="Body Text"/>
    <w:basedOn w:val="Normal"/>
    <w:link w:val="TextoindependienteCar"/>
    <w:semiHidden/>
    <w:rsid w:val="00B759BB"/>
    <w:pPr>
      <w:jc w:val="both"/>
    </w:pPr>
    <w:rPr>
      <w:sz w:val="24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759BB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Textoindependiente2">
    <w:name w:val="Body Text 2"/>
    <w:basedOn w:val="Normal"/>
    <w:link w:val="Textoindependiente2Car"/>
    <w:semiHidden/>
    <w:rsid w:val="00B759BB"/>
    <w:pPr>
      <w:jc w:val="both"/>
    </w:pPr>
    <w:rPr>
      <w:b/>
      <w:sz w:val="24"/>
      <w:lang w:val="es-AR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B759BB"/>
    <w:rPr>
      <w:rFonts w:ascii="Times New Roman" w:eastAsia="Times New Roman" w:hAnsi="Times New Roman" w:cs="Times New Roman"/>
      <w:b/>
      <w:sz w:val="24"/>
      <w:szCs w:val="20"/>
      <w:lang w:val="es-AR" w:eastAsia="es-ES"/>
    </w:rPr>
  </w:style>
  <w:style w:type="paragraph" w:styleId="Sangradetextonormal">
    <w:name w:val="Body Text Indent"/>
    <w:basedOn w:val="Normal"/>
    <w:link w:val="SangradetextonormalCar"/>
    <w:semiHidden/>
    <w:rsid w:val="00B759BB"/>
    <w:pPr>
      <w:ind w:firstLine="708"/>
      <w:jc w:val="both"/>
    </w:pPr>
    <w:rPr>
      <w:sz w:val="24"/>
      <w:lang w:val="es-AR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759BB"/>
    <w:rPr>
      <w:rFonts w:ascii="Times New Roman" w:eastAsia="Times New Roman" w:hAnsi="Times New Roman" w:cs="Times New Roman"/>
      <w:sz w:val="24"/>
      <w:szCs w:val="20"/>
      <w:lang w:val="es-AR" w:eastAsia="es-ES"/>
    </w:rPr>
  </w:style>
  <w:style w:type="paragraph" w:styleId="Sangra2detindependiente">
    <w:name w:val="Body Text Indent 2"/>
    <w:basedOn w:val="Normal"/>
    <w:link w:val="Sangra2detindependienteCar"/>
    <w:semiHidden/>
    <w:rsid w:val="00B759BB"/>
    <w:pPr>
      <w:ind w:left="360"/>
      <w:jc w:val="both"/>
    </w:pPr>
    <w:rPr>
      <w:b/>
      <w:bCs/>
      <w:sz w:val="24"/>
      <w:lang w:val="es-AR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B759BB"/>
    <w:rPr>
      <w:rFonts w:ascii="Times New Roman" w:eastAsia="Times New Roman" w:hAnsi="Times New Roman" w:cs="Times New Roman"/>
      <w:b/>
      <w:bCs/>
      <w:sz w:val="24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1047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Cosentino</dc:creator>
  <cp:lastModifiedBy>Susana Cosentino</cp:lastModifiedBy>
  <cp:revision>2</cp:revision>
  <dcterms:created xsi:type="dcterms:W3CDTF">2019-01-08T22:11:00Z</dcterms:created>
  <dcterms:modified xsi:type="dcterms:W3CDTF">2019-01-08T22:11:00Z</dcterms:modified>
</cp:coreProperties>
</file>