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043" w:rsidRDefault="00894043" w:rsidP="00894043">
      <w:pPr>
        <w:pStyle w:val="Ttulo3"/>
        <w:rPr>
          <w:sz w:val="24"/>
        </w:rPr>
      </w:pPr>
      <w:r>
        <w:rPr>
          <w:sz w:val="24"/>
        </w:rPr>
        <w:t>ESTADO DE LA DEUDA PÚBLICA INDIRECTA</w:t>
      </w:r>
    </w:p>
    <w:p w:rsidR="00894043" w:rsidRDefault="00894043" w:rsidP="00894043">
      <w:pPr>
        <w:jc w:val="both"/>
        <w:rPr>
          <w:lang w:val="es-AR"/>
        </w:rPr>
      </w:pPr>
    </w:p>
    <w:p w:rsidR="00894043" w:rsidRDefault="00894043" w:rsidP="00894043">
      <w:pPr>
        <w:pStyle w:val="Ttulo1"/>
        <w:pBdr>
          <w:bottom w:val="none" w:sz="0" w:space="0" w:color="auto"/>
        </w:pBdr>
      </w:pPr>
      <w:r>
        <w:t>Objetivo del cuadro</w:t>
      </w:r>
    </w:p>
    <w:p w:rsidR="00894043" w:rsidRDefault="00894043" w:rsidP="00894043">
      <w:pPr>
        <w:jc w:val="both"/>
        <w:rPr>
          <w:lang w:val="es-AR"/>
        </w:rPr>
      </w:pPr>
    </w:p>
    <w:p w:rsidR="00894043" w:rsidRDefault="00894043" w:rsidP="00894043">
      <w:pPr>
        <w:spacing w:line="360" w:lineRule="auto"/>
        <w:jc w:val="both"/>
      </w:pPr>
      <w:r w:rsidRPr="00427161">
        <w:rPr>
          <w:bCs/>
        </w:rPr>
        <w:t xml:space="preserve">Exponer </w:t>
      </w:r>
      <w:r w:rsidRPr="00AF63F3">
        <w:rPr>
          <w:bCs/>
        </w:rPr>
        <w:t>los movimientos de</w:t>
      </w:r>
      <w:r>
        <w:rPr>
          <w:bCs/>
        </w:rPr>
        <w:t xml:space="preserve"> </w:t>
      </w:r>
      <w:r w:rsidRPr="00427161">
        <w:rPr>
          <w:bCs/>
        </w:rPr>
        <w:t>l</w:t>
      </w:r>
      <w:r>
        <w:rPr>
          <w:bCs/>
        </w:rPr>
        <w:t>a Deuda Pública del Organismo, por el período que se informa</w:t>
      </w:r>
      <w:r>
        <w:t>.</w:t>
      </w:r>
    </w:p>
    <w:p w:rsidR="00894043" w:rsidRDefault="00894043" w:rsidP="00894043">
      <w:pPr>
        <w:spacing w:line="360" w:lineRule="auto"/>
        <w:jc w:val="both"/>
      </w:pPr>
    </w:p>
    <w:p w:rsidR="00894043" w:rsidRDefault="00894043" w:rsidP="00894043">
      <w:pPr>
        <w:pStyle w:val="Ttulo1"/>
        <w:pBdr>
          <w:bottom w:val="none" w:sz="0" w:space="0" w:color="auto"/>
        </w:pBdr>
        <w:tabs>
          <w:tab w:val="left" w:pos="7088"/>
        </w:tabs>
      </w:pPr>
      <w:r w:rsidRPr="00427161">
        <w:t>Aclaraciones preliminares</w:t>
      </w:r>
    </w:p>
    <w:p w:rsidR="00894043" w:rsidRDefault="00894043" w:rsidP="00894043">
      <w:pPr>
        <w:jc w:val="both"/>
        <w:rPr>
          <w:lang w:val="es-AR"/>
        </w:rPr>
      </w:pPr>
    </w:p>
    <w:p w:rsidR="00894043" w:rsidRDefault="00894043" w:rsidP="00894043">
      <w:pPr>
        <w:numPr>
          <w:ilvl w:val="0"/>
          <w:numId w:val="1"/>
        </w:numPr>
        <w:jc w:val="both"/>
        <w:rPr>
          <w:lang w:val="es-AR"/>
        </w:rPr>
      </w:pPr>
      <w:r>
        <w:rPr>
          <w:lang w:val="es-AR"/>
        </w:rPr>
        <w:t>El archivo Excel (Libro) que contiene la información de los cuadros se denomina “Cuadro06”, extensión XLS. El Organismo deberá grabar el Libro bajo el nombre “nnnCuadro06”, extensión XLS, siendo “</w:t>
      </w:r>
      <w:proofErr w:type="spellStart"/>
      <w:r>
        <w:rPr>
          <w:lang w:val="es-AR"/>
        </w:rPr>
        <w:t>nnn</w:t>
      </w:r>
      <w:proofErr w:type="spellEnd"/>
      <w:r>
        <w:rPr>
          <w:lang w:val="es-AR"/>
        </w:rPr>
        <w:t>” igual al código del Servicio Administrativo-Financiero involucrado.</w:t>
      </w:r>
    </w:p>
    <w:p w:rsidR="00894043" w:rsidRDefault="00894043" w:rsidP="00894043">
      <w:pPr>
        <w:ind w:left="360"/>
        <w:jc w:val="both"/>
        <w:rPr>
          <w:lang w:val="es-AR"/>
        </w:rPr>
      </w:pPr>
      <w:r>
        <w:rPr>
          <w:lang w:val="es-AR"/>
        </w:rPr>
        <w:t>Por ejemplo, para el Servicio Administrativo-Financiero Nº 348, el Libro deberá ser grabado como “348Cuadro06”, extensión XLS.</w:t>
      </w:r>
    </w:p>
    <w:p w:rsidR="00894043" w:rsidRDefault="00894043" w:rsidP="00894043">
      <w:pPr>
        <w:ind w:left="360"/>
        <w:jc w:val="both"/>
        <w:rPr>
          <w:lang w:val="es-AR"/>
        </w:rPr>
      </w:pPr>
    </w:p>
    <w:p w:rsidR="00894043" w:rsidRDefault="00894043" w:rsidP="00894043">
      <w:pPr>
        <w:numPr>
          <w:ilvl w:val="0"/>
          <w:numId w:val="1"/>
        </w:numPr>
        <w:jc w:val="both"/>
        <w:rPr>
          <w:lang w:val="es-AR"/>
        </w:rPr>
      </w:pPr>
      <w:r>
        <w:rPr>
          <w:lang w:val="es-AR"/>
        </w:rPr>
        <w:t>Dicho libro contiene 1 (una) sola hoja denominada “Cuadro6”, la cual se encuentra protegida contra escritura, encontrándose habilitadas exclusivamente aquellas celdas en las que el Servicio Administrativo-Financiero debe ingresar información.</w:t>
      </w:r>
    </w:p>
    <w:p w:rsidR="00894043" w:rsidRDefault="00894043" w:rsidP="00894043">
      <w:pPr>
        <w:pStyle w:val="Ttulo1"/>
        <w:pBdr>
          <w:bottom w:val="none" w:sz="0" w:space="0" w:color="auto"/>
        </w:pBdr>
      </w:pPr>
    </w:p>
    <w:p w:rsidR="00894043" w:rsidRDefault="00894043" w:rsidP="00894043">
      <w:pPr>
        <w:pStyle w:val="Ttulo1"/>
        <w:pBdr>
          <w:bottom w:val="none" w:sz="0" w:space="0" w:color="auto"/>
        </w:pBdr>
      </w:pPr>
      <w:r w:rsidRPr="00427161">
        <w:t>Instrucciones para la confección del Cuadro</w:t>
      </w:r>
      <w:r w:rsidRPr="0031604E">
        <w:t xml:space="preserve"> 6</w:t>
      </w:r>
    </w:p>
    <w:p w:rsidR="00894043" w:rsidRDefault="00894043" w:rsidP="00894043">
      <w:pPr>
        <w:spacing w:line="360" w:lineRule="auto"/>
        <w:ind w:left="709"/>
        <w:jc w:val="both"/>
      </w:pPr>
    </w:p>
    <w:p w:rsidR="00894043" w:rsidRDefault="00894043" w:rsidP="00894043">
      <w:pPr>
        <w:jc w:val="both"/>
      </w:pPr>
      <w:r>
        <w:t>La estructura del cuadro comprende los siguientes aspectos:</w:t>
      </w:r>
    </w:p>
    <w:p w:rsidR="00894043" w:rsidRDefault="00894043" w:rsidP="00894043">
      <w:pPr>
        <w:ind w:left="709"/>
        <w:jc w:val="both"/>
      </w:pPr>
    </w:p>
    <w:p w:rsidR="00894043" w:rsidRDefault="00894043" w:rsidP="00894043">
      <w:pPr>
        <w:ind w:left="709"/>
        <w:jc w:val="both"/>
      </w:pPr>
      <w:r>
        <w:t>a) Identificación de las obligaciones financieras</w:t>
      </w:r>
    </w:p>
    <w:p w:rsidR="00894043" w:rsidRDefault="00894043" w:rsidP="00894043">
      <w:pPr>
        <w:ind w:left="709"/>
        <w:jc w:val="both"/>
      </w:pPr>
      <w:r>
        <w:rPr>
          <w:u w:val="single"/>
        </w:rPr>
        <w:t>Campo Acreedor Entidad</w:t>
      </w:r>
      <w:r>
        <w:t>: Consignará la sigla del Acreedor (BID - BIRF etc.), si se tratase de una obligación emitida en masa, indicará: al portador.</w:t>
      </w:r>
    </w:p>
    <w:p w:rsidR="00894043" w:rsidRDefault="00894043" w:rsidP="00894043">
      <w:pPr>
        <w:ind w:left="709"/>
        <w:jc w:val="both"/>
      </w:pPr>
    </w:p>
    <w:p w:rsidR="00894043" w:rsidRDefault="00894043" w:rsidP="00894043">
      <w:pPr>
        <w:ind w:left="709"/>
        <w:jc w:val="both"/>
      </w:pPr>
      <w:r>
        <w:rPr>
          <w:u w:val="single"/>
        </w:rPr>
        <w:t>Campo Acreedor Tipo y Número</w:t>
      </w:r>
      <w:r>
        <w:t xml:space="preserve">: Indicar sigla y número de la obligación (Ej. en Préstamos 618/OC  </w:t>
      </w:r>
      <w:proofErr w:type="gramStart"/>
      <w:r>
        <w:t>AR )</w:t>
      </w:r>
      <w:proofErr w:type="gramEnd"/>
    </w:p>
    <w:p w:rsidR="00894043" w:rsidRDefault="00894043" w:rsidP="00894043">
      <w:pPr>
        <w:ind w:left="709"/>
        <w:jc w:val="both"/>
      </w:pPr>
    </w:p>
    <w:p w:rsidR="00894043" w:rsidRDefault="00894043" w:rsidP="00894043">
      <w:pPr>
        <w:ind w:left="709"/>
        <w:jc w:val="both"/>
      </w:pPr>
      <w:r>
        <w:rPr>
          <w:u w:val="single"/>
        </w:rPr>
        <w:t>Campo Acreedor SIGADE Nº:</w:t>
      </w:r>
      <w:r>
        <w:t xml:space="preserve"> Se refiere al número asignado a la obligación financiera en el SIGADE.</w:t>
      </w:r>
    </w:p>
    <w:p w:rsidR="00894043" w:rsidRDefault="00894043" w:rsidP="00894043">
      <w:pPr>
        <w:ind w:left="709"/>
        <w:jc w:val="both"/>
      </w:pPr>
    </w:p>
    <w:p w:rsidR="00894043" w:rsidRDefault="00894043" w:rsidP="00894043">
      <w:pPr>
        <w:ind w:left="709"/>
        <w:jc w:val="both"/>
      </w:pPr>
      <w:r>
        <w:rPr>
          <w:u w:val="single"/>
        </w:rPr>
        <w:t>Campo Acreedor Moneda:</w:t>
      </w:r>
      <w:r>
        <w:t xml:space="preserve"> Se deberá consignar la moneda de origen de la obligación.</w:t>
      </w:r>
    </w:p>
    <w:p w:rsidR="00894043" w:rsidRDefault="00894043" w:rsidP="00894043">
      <w:pPr>
        <w:ind w:left="709"/>
        <w:jc w:val="both"/>
      </w:pPr>
    </w:p>
    <w:p w:rsidR="00894043" w:rsidRDefault="00894043" w:rsidP="00894043">
      <w:pPr>
        <w:ind w:left="709"/>
        <w:jc w:val="both"/>
      </w:pPr>
      <w:r>
        <w:t>b) Datos sobre los Saldos al Inicio del Período informado</w:t>
      </w:r>
    </w:p>
    <w:p w:rsidR="00894043" w:rsidRDefault="00894043" w:rsidP="00894043">
      <w:pPr>
        <w:ind w:left="709"/>
        <w:jc w:val="both"/>
      </w:pPr>
      <w:r>
        <w:rPr>
          <w:u w:val="single"/>
        </w:rPr>
        <w:t>Campo Saldo Cierre Ejercicio Anterior en pesos y moneda extranjera</w:t>
      </w:r>
      <w:r>
        <w:t>: Corresponde incluir la cantidad en pesos y en moneda extranjera de la obligación - Capital - al inicio de período informado, citando con una sigla la unidad monetaria. Si la obligación fuese en pesos colocar sólo la cantidad de deuda en esa moneda.</w:t>
      </w:r>
    </w:p>
    <w:p w:rsidR="00894043" w:rsidRDefault="00894043" w:rsidP="00894043">
      <w:pPr>
        <w:ind w:left="709"/>
        <w:jc w:val="both"/>
      </w:pPr>
    </w:p>
    <w:p w:rsidR="00894043" w:rsidRDefault="00894043" w:rsidP="00894043">
      <w:pPr>
        <w:ind w:left="709"/>
        <w:jc w:val="both"/>
      </w:pPr>
    </w:p>
    <w:p w:rsidR="00894043" w:rsidRDefault="00894043" w:rsidP="00894043">
      <w:pPr>
        <w:ind w:left="709"/>
        <w:jc w:val="both"/>
        <w:rPr>
          <w:u w:val="single"/>
        </w:rPr>
      </w:pPr>
      <w:r>
        <w:rPr>
          <w:u w:val="single"/>
        </w:rPr>
        <w:t>Campo Saldo Cierre Ejercicio Anterior Diferencia de Cambio</w:t>
      </w:r>
      <w:r>
        <w:t>: Corresponde incluir la cantidad en pesos de la variación de cambio ocurrida por los saldos iniciales del período.</w:t>
      </w:r>
    </w:p>
    <w:p w:rsidR="00894043" w:rsidRDefault="00894043" w:rsidP="00894043">
      <w:pPr>
        <w:ind w:left="709"/>
        <w:jc w:val="both"/>
      </w:pPr>
    </w:p>
    <w:p w:rsidR="00894043" w:rsidRDefault="00894043" w:rsidP="00894043">
      <w:pPr>
        <w:ind w:left="709"/>
        <w:jc w:val="both"/>
      </w:pPr>
      <w:r>
        <w:rPr>
          <w:u w:val="single"/>
        </w:rPr>
        <w:t>Campo Saldo Cierre Ejercicio Anterior Nuevo Saldo Inicial Ejercicio en pesos y moneda extranjera</w:t>
      </w:r>
      <w:r>
        <w:t xml:space="preserve">: Corresponde incluir la cantidad en pesos y en moneda extranjera  de la obligación - Capital - al inicio de período informado, que surge como </w:t>
      </w:r>
      <w:r>
        <w:lastRenderedPageBreak/>
        <w:t>consecuencia de adicionar al Saldo de Cierre período anterior las diferencias de cambio.</w:t>
      </w:r>
    </w:p>
    <w:p w:rsidR="00894043" w:rsidRDefault="00894043" w:rsidP="00894043">
      <w:pPr>
        <w:ind w:left="709"/>
        <w:jc w:val="both"/>
      </w:pPr>
    </w:p>
    <w:p w:rsidR="00894043" w:rsidRDefault="00894043" w:rsidP="00894043">
      <w:pPr>
        <w:ind w:left="709"/>
        <w:jc w:val="both"/>
      </w:pPr>
      <w:r>
        <w:t>c) Datos sobre los Movimientos del Período</w:t>
      </w:r>
    </w:p>
    <w:p w:rsidR="00894043" w:rsidRDefault="00894043" w:rsidP="00894043">
      <w:pPr>
        <w:ind w:left="709"/>
        <w:jc w:val="both"/>
      </w:pPr>
      <w:r>
        <w:rPr>
          <w:u w:val="single"/>
        </w:rPr>
        <w:t>Incrementos/Disminución</w:t>
      </w:r>
      <w:r>
        <w:t>: Segregará e incluirá en el ítem correspondiente los</w:t>
      </w:r>
      <w:r>
        <w:rPr>
          <w:u w:val="single"/>
        </w:rPr>
        <w:t xml:space="preserve"> </w:t>
      </w:r>
      <w:r>
        <w:t>importes de las obligaciones en pesos y cantidad de moneda (si fuese en moneda extranjera) registrados tanto en forma presupuestaria como extrapresupuestaria.</w:t>
      </w:r>
    </w:p>
    <w:p w:rsidR="00894043" w:rsidRDefault="00894043" w:rsidP="00894043">
      <w:pPr>
        <w:ind w:left="709"/>
        <w:jc w:val="both"/>
      </w:pPr>
    </w:p>
    <w:p w:rsidR="00894043" w:rsidRDefault="00894043" w:rsidP="00894043">
      <w:pPr>
        <w:ind w:left="709"/>
        <w:jc w:val="both"/>
      </w:pPr>
      <w:r>
        <w:rPr>
          <w:u w:val="single"/>
        </w:rPr>
        <w:t>Diferencia de Cambio</w:t>
      </w:r>
      <w:r>
        <w:t>: Corresponde a la variación en pesos ocurrida entre el valor registrado en el SIDIF y el Valor Actualizado de la Obligación al cierre del período informado como consecuencia de la variación operada en los tipos de cambio utilizados en la registración original y el cierre efectuado al tipo de cambio vigente.</w:t>
      </w:r>
    </w:p>
    <w:p w:rsidR="00894043" w:rsidRDefault="00894043" w:rsidP="00894043">
      <w:pPr>
        <w:ind w:left="709"/>
        <w:jc w:val="both"/>
      </w:pPr>
    </w:p>
    <w:p w:rsidR="00894043" w:rsidRDefault="00894043" w:rsidP="00894043">
      <w:pPr>
        <w:ind w:left="709"/>
        <w:jc w:val="both"/>
      </w:pPr>
      <w:r>
        <w:rPr>
          <w:u w:val="single"/>
        </w:rPr>
        <w:t>Campo Total</w:t>
      </w:r>
      <w:r>
        <w:t>: Corresponde incluir el importe que resulta de la suma de Presupuestarios en Pesos, Extrapresupuestarios en Pesos, Diferencia de Cambio, tanto para Desembolsos como para Principal.</w:t>
      </w:r>
    </w:p>
    <w:p w:rsidR="00894043" w:rsidRDefault="00894043" w:rsidP="00894043">
      <w:pPr>
        <w:ind w:left="709"/>
        <w:jc w:val="both"/>
      </w:pPr>
    </w:p>
    <w:p w:rsidR="00894043" w:rsidRDefault="00894043" w:rsidP="00894043">
      <w:pPr>
        <w:ind w:left="709"/>
        <w:jc w:val="both"/>
      </w:pPr>
      <w:r>
        <w:t>d) Datos sobre los Intereses generados en el Período</w:t>
      </w:r>
    </w:p>
    <w:p w:rsidR="00894043" w:rsidRDefault="00894043" w:rsidP="00894043">
      <w:pPr>
        <w:ind w:left="709"/>
        <w:jc w:val="both"/>
      </w:pPr>
      <w:r>
        <w:rPr>
          <w:u w:val="single"/>
        </w:rPr>
        <w:t>Campo Vencidos Impagos</w:t>
      </w:r>
      <w:r>
        <w:t>: Es la cantidad de dinero en pesos que generados durante el período se hallan pendiente de cancelación y resultan exigibles.</w:t>
      </w:r>
    </w:p>
    <w:p w:rsidR="00894043" w:rsidRDefault="00894043" w:rsidP="00894043">
      <w:pPr>
        <w:ind w:left="709"/>
        <w:jc w:val="both"/>
      </w:pPr>
    </w:p>
    <w:p w:rsidR="00894043" w:rsidRDefault="00894043" w:rsidP="00894043">
      <w:pPr>
        <w:ind w:left="709"/>
        <w:jc w:val="both"/>
      </w:pPr>
      <w:r>
        <w:rPr>
          <w:u w:val="single"/>
        </w:rPr>
        <w:t>Campo Vencidos Pagados:</w:t>
      </w:r>
      <w:r>
        <w:t xml:space="preserve"> Es la cantidad de dinero en pesos que generados durante el período se ha procedido a cancelar.</w:t>
      </w:r>
    </w:p>
    <w:p w:rsidR="00894043" w:rsidRDefault="00894043" w:rsidP="00894043">
      <w:pPr>
        <w:ind w:left="709"/>
        <w:jc w:val="both"/>
      </w:pPr>
    </w:p>
    <w:p w:rsidR="00894043" w:rsidRDefault="00894043" w:rsidP="00894043">
      <w:pPr>
        <w:ind w:left="709"/>
        <w:jc w:val="both"/>
      </w:pPr>
      <w:r>
        <w:rPr>
          <w:u w:val="single"/>
        </w:rPr>
        <w:t>Campo a Vencer:</w:t>
      </w:r>
      <w:r>
        <w:t xml:space="preserve"> Es la cantidad de dinero en pesos que generados durante el período se encuentran devengados no exigibles, calculados hasta el cierre del ejercicio.</w:t>
      </w:r>
    </w:p>
    <w:p w:rsidR="00894043" w:rsidRDefault="00894043" w:rsidP="00894043">
      <w:pPr>
        <w:ind w:left="709"/>
        <w:jc w:val="both"/>
      </w:pPr>
    </w:p>
    <w:p w:rsidR="00894043" w:rsidRDefault="00894043" w:rsidP="00894043">
      <w:pPr>
        <w:ind w:left="709"/>
        <w:jc w:val="both"/>
      </w:pPr>
      <w:r>
        <w:t>e) Datos sobre los Gastos y Comisiones del Período</w:t>
      </w:r>
    </w:p>
    <w:p w:rsidR="00894043" w:rsidRDefault="00894043" w:rsidP="00894043">
      <w:pPr>
        <w:ind w:left="709"/>
        <w:jc w:val="both"/>
      </w:pPr>
      <w:proofErr w:type="gramStart"/>
      <w:r>
        <w:rPr>
          <w:u w:val="single"/>
        </w:rPr>
        <w:t>Campo Devengados</w:t>
      </w:r>
      <w:proofErr w:type="gramEnd"/>
      <w:r>
        <w:rPr>
          <w:u w:val="single"/>
        </w:rPr>
        <w:t xml:space="preserve"> y Campo Pagados</w:t>
      </w:r>
      <w:r>
        <w:t>: Se refiere a los importes en pesos generados en el período de los cuales se emitió la orden de pago y los pagados efectivamente.</w:t>
      </w:r>
    </w:p>
    <w:p w:rsidR="00894043" w:rsidRDefault="00894043" w:rsidP="00894043">
      <w:pPr>
        <w:ind w:left="709"/>
        <w:jc w:val="both"/>
      </w:pPr>
    </w:p>
    <w:p w:rsidR="00894043" w:rsidRDefault="00894043" w:rsidP="00894043">
      <w:pPr>
        <w:ind w:left="709"/>
        <w:jc w:val="both"/>
      </w:pPr>
      <w:r>
        <w:t>f) Datos sobre Saldos de Capital al cierre del Período</w:t>
      </w:r>
    </w:p>
    <w:p w:rsidR="00894043" w:rsidRDefault="00894043" w:rsidP="00894043">
      <w:pPr>
        <w:ind w:left="709"/>
        <w:jc w:val="both"/>
        <w:rPr>
          <w:u w:val="single"/>
        </w:rPr>
      </w:pPr>
      <w:r>
        <w:rPr>
          <w:u w:val="single"/>
        </w:rPr>
        <w:t>Campo en Pesos</w:t>
      </w:r>
      <w:r>
        <w:t>: Es la cantidad de dinero en pesos que al cierre del período por el Capital de la obligación resulta de la suma de saldo inicial más incrementos presupuestarios más incrementos extrapresupuestarios más/menos diferencia de cambio menos disminuciones presupuestarias menos disminuciones extrapresupuestarias menos/más diferencia de cambio.</w:t>
      </w:r>
    </w:p>
    <w:p w:rsidR="00894043" w:rsidRDefault="00894043" w:rsidP="00894043">
      <w:pPr>
        <w:ind w:left="709"/>
        <w:jc w:val="both"/>
      </w:pPr>
    </w:p>
    <w:p w:rsidR="00894043" w:rsidRDefault="00894043" w:rsidP="00894043">
      <w:pPr>
        <w:ind w:left="709"/>
        <w:jc w:val="both"/>
      </w:pPr>
      <w:r>
        <w:rPr>
          <w:u w:val="single"/>
        </w:rPr>
        <w:t>Campo en Moneda Extranjera</w:t>
      </w:r>
      <w:r>
        <w:t>: Es la cantidad de dinero en moneda extranjera que al cierre del período por el Capital de la obligación resulta de la suma de saldo inicial más incrementos presupuestarios más incrementos extrapresupuestarios menos disminuciones presupuestarias menos disminuciones extrapresupuestarias.</w:t>
      </w:r>
    </w:p>
    <w:p w:rsidR="00894043" w:rsidRDefault="00894043" w:rsidP="00894043">
      <w:pPr>
        <w:ind w:left="709"/>
        <w:jc w:val="both"/>
      </w:pPr>
    </w:p>
    <w:p w:rsidR="00894043" w:rsidRDefault="00894043" w:rsidP="00894043">
      <w:pPr>
        <w:ind w:left="709"/>
        <w:jc w:val="both"/>
      </w:pPr>
      <w:r>
        <w:t>El cuadro debe ser integrado por obligación financiera individual esto es por Código SIGADE, ordenando según la siguiente jerarquía: totalizando por cada uno de las aperturas señaladas y luego un gran total.</w:t>
      </w:r>
    </w:p>
    <w:p w:rsidR="00894043" w:rsidRDefault="00894043" w:rsidP="00894043">
      <w:pPr>
        <w:ind w:left="709"/>
        <w:jc w:val="both"/>
      </w:pPr>
    </w:p>
    <w:p w:rsidR="00113406" w:rsidRDefault="00894043">
      <w:bookmarkStart w:id="0" w:name="_GoBack"/>
      <w:bookmarkEnd w:id="0"/>
    </w:p>
    <w:sectPr w:rsidR="00113406">
      <w:headerReference w:type="default" r:id="rId8"/>
      <w:pgSz w:w="11907" w:h="16840" w:code="9"/>
      <w:pgMar w:top="1418" w:right="567" w:bottom="1134" w:left="226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043" w:rsidRDefault="00894043" w:rsidP="00CC0A27">
      <w:r>
        <w:separator/>
      </w:r>
    </w:p>
  </w:endnote>
  <w:endnote w:type="continuationSeparator" w:id="0">
    <w:p w:rsidR="00894043" w:rsidRDefault="00894043" w:rsidP="00CC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043" w:rsidRDefault="00894043" w:rsidP="00CC0A27">
      <w:r>
        <w:separator/>
      </w:r>
    </w:p>
  </w:footnote>
  <w:footnote w:type="continuationSeparator" w:id="0">
    <w:p w:rsidR="00894043" w:rsidRDefault="00894043" w:rsidP="00CC0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9E7" w:rsidRPr="00427161" w:rsidRDefault="00894043">
    <w:pPr>
      <w:pStyle w:val="Encabezado"/>
      <w:jc w:val="right"/>
      <w:rPr>
        <w:b/>
        <w:bCs/>
      </w:rPr>
    </w:pPr>
    <w:r w:rsidRPr="00427161">
      <w:rPr>
        <w:b/>
        <w:bCs/>
      </w:rPr>
      <w:t>CUADRO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6676"/>
    <w:multiLevelType w:val="singleLevel"/>
    <w:tmpl w:val="2092D588"/>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043"/>
    <w:rsid w:val="00075C05"/>
    <w:rsid w:val="001A044D"/>
    <w:rsid w:val="001E7B3D"/>
    <w:rsid w:val="00296995"/>
    <w:rsid w:val="00336247"/>
    <w:rsid w:val="00341288"/>
    <w:rsid w:val="003B7C5B"/>
    <w:rsid w:val="004211AE"/>
    <w:rsid w:val="004740CF"/>
    <w:rsid w:val="004D667A"/>
    <w:rsid w:val="00501E47"/>
    <w:rsid w:val="00511D88"/>
    <w:rsid w:val="005F640A"/>
    <w:rsid w:val="0066455C"/>
    <w:rsid w:val="006F7634"/>
    <w:rsid w:val="0070561B"/>
    <w:rsid w:val="0077593C"/>
    <w:rsid w:val="008118F7"/>
    <w:rsid w:val="00894043"/>
    <w:rsid w:val="008A156B"/>
    <w:rsid w:val="009A11E3"/>
    <w:rsid w:val="009A3EB6"/>
    <w:rsid w:val="009B7591"/>
    <w:rsid w:val="00B91156"/>
    <w:rsid w:val="00BE51B6"/>
    <w:rsid w:val="00C37D5E"/>
    <w:rsid w:val="00C52A86"/>
    <w:rsid w:val="00CC0A27"/>
    <w:rsid w:val="00CD0410"/>
    <w:rsid w:val="00CF4E0F"/>
    <w:rsid w:val="00D35049"/>
    <w:rsid w:val="00D567FC"/>
    <w:rsid w:val="00D80472"/>
    <w:rsid w:val="00E21501"/>
    <w:rsid w:val="00F24F92"/>
    <w:rsid w:val="00FB446E"/>
    <w:rsid w:val="00FC1D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043"/>
    <w:pPr>
      <w:widowControl w:val="0"/>
      <w:ind w:right="0"/>
      <w:jc w:val="left"/>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894043"/>
    <w:pPr>
      <w:keepNext/>
      <w:widowControl/>
      <w:pBdr>
        <w:bottom w:val="single" w:sz="4" w:space="1" w:color="auto"/>
      </w:pBdr>
      <w:jc w:val="both"/>
      <w:outlineLvl w:val="0"/>
    </w:pPr>
    <w:rPr>
      <w:b/>
      <w:lang w:val="es-AR"/>
    </w:rPr>
  </w:style>
  <w:style w:type="paragraph" w:styleId="Ttulo3">
    <w:name w:val="heading 3"/>
    <w:basedOn w:val="Normal"/>
    <w:next w:val="Normal"/>
    <w:link w:val="Ttulo3Car"/>
    <w:qFormat/>
    <w:rsid w:val="00894043"/>
    <w:pPr>
      <w:keepNext/>
      <w:spacing w:line="360" w:lineRule="auto"/>
      <w:jc w:val="center"/>
      <w:outlineLvl w:val="2"/>
    </w:pPr>
    <w:rPr>
      <w:b/>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1Car">
    <w:name w:val="Título 1 Car"/>
    <w:basedOn w:val="Fuentedeprrafopredeter"/>
    <w:link w:val="Ttulo1"/>
    <w:rsid w:val="00894043"/>
    <w:rPr>
      <w:rFonts w:ascii="Times New Roman" w:eastAsia="Times New Roman" w:hAnsi="Times New Roman" w:cs="Times New Roman"/>
      <w:b/>
      <w:sz w:val="24"/>
      <w:szCs w:val="20"/>
      <w:lang w:val="es-AR" w:eastAsia="es-ES"/>
    </w:rPr>
  </w:style>
  <w:style w:type="character" w:customStyle="1" w:styleId="Ttulo3Car">
    <w:name w:val="Título 3 Car"/>
    <w:basedOn w:val="Fuentedeprrafopredeter"/>
    <w:link w:val="Ttulo3"/>
    <w:rsid w:val="00894043"/>
    <w:rPr>
      <w:rFonts w:ascii="Times New Roman" w:eastAsia="Times New Roman" w:hAnsi="Times New Roman" w:cs="Times New Roman"/>
      <w:b/>
      <w:szCs w:val="20"/>
      <w:u w:val="single"/>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ind w:right="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043"/>
    <w:pPr>
      <w:widowControl w:val="0"/>
      <w:ind w:right="0"/>
      <w:jc w:val="left"/>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894043"/>
    <w:pPr>
      <w:keepNext/>
      <w:widowControl/>
      <w:pBdr>
        <w:bottom w:val="single" w:sz="4" w:space="1" w:color="auto"/>
      </w:pBdr>
      <w:jc w:val="both"/>
      <w:outlineLvl w:val="0"/>
    </w:pPr>
    <w:rPr>
      <w:b/>
      <w:lang w:val="es-AR"/>
    </w:rPr>
  </w:style>
  <w:style w:type="paragraph" w:styleId="Ttulo3">
    <w:name w:val="heading 3"/>
    <w:basedOn w:val="Normal"/>
    <w:next w:val="Normal"/>
    <w:link w:val="Ttulo3Car"/>
    <w:qFormat/>
    <w:rsid w:val="00894043"/>
    <w:pPr>
      <w:keepNext/>
      <w:spacing w:line="360" w:lineRule="auto"/>
      <w:jc w:val="center"/>
      <w:outlineLvl w:val="2"/>
    </w:pPr>
    <w:rPr>
      <w:b/>
      <w:sz w:val="2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C0A27"/>
    <w:pPr>
      <w:tabs>
        <w:tab w:val="center" w:pos="4419"/>
        <w:tab w:val="right" w:pos="8838"/>
      </w:tabs>
    </w:pPr>
  </w:style>
  <w:style w:type="character" w:customStyle="1" w:styleId="EncabezadoCar">
    <w:name w:val="Encabezado Car"/>
    <w:basedOn w:val="Fuentedeprrafopredeter"/>
    <w:link w:val="Encabezado"/>
    <w:uiPriority w:val="99"/>
    <w:rsid w:val="00CC0A27"/>
  </w:style>
  <w:style w:type="paragraph" w:styleId="Piedepgina">
    <w:name w:val="footer"/>
    <w:basedOn w:val="Normal"/>
    <w:link w:val="PiedepginaCar"/>
    <w:uiPriority w:val="99"/>
    <w:unhideWhenUsed/>
    <w:rsid w:val="00CC0A27"/>
    <w:pPr>
      <w:tabs>
        <w:tab w:val="center" w:pos="4419"/>
        <w:tab w:val="right" w:pos="8838"/>
      </w:tabs>
    </w:pPr>
  </w:style>
  <w:style w:type="character" w:customStyle="1" w:styleId="PiedepginaCar">
    <w:name w:val="Pie de página Car"/>
    <w:basedOn w:val="Fuentedeprrafopredeter"/>
    <w:link w:val="Piedepgina"/>
    <w:uiPriority w:val="99"/>
    <w:rsid w:val="00CC0A27"/>
  </w:style>
  <w:style w:type="paragraph" w:styleId="Textodeglobo">
    <w:name w:val="Balloon Text"/>
    <w:basedOn w:val="Normal"/>
    <w:link w:val="TextodegloboCar"/>
    <w:uiPriority w:val="99"/>
    <w:semiHidden/>
    <w:unhideWhenUsed/>
    <w:rsid w:val="00FC1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C1D9B"/>
    <w:rPr>
      <w:rFonts w:ascii="Tahoma" w:hAnsi="Tahoma" w:cs="Tahoma"/>
      <w:sz w:val="16"/>
      <w:szCs w:val="16"/>
    </w:rPr>
  </w:style>
  <w:style w:type="character" w:customStyle="1" w:styleId="Ttulo1Car">
    <w:name w:val="Título 1 Car"/>
    <w:basedOn w:val="Fuentedeprrafopredeter"/>
    <w:link w:val="Ttulo1"/>
    <w:rsid w:val="00894043"/>
    <w:rPr>
      <w:rFonts w:ascii="Times New Roman" w:eastAsia="Times New Roman" w:hAnsi="Times New Roman" w:cs="Times New Roman"/>
      <w:b/>
      <w:sz w:val="24"/>
      <w:szCs w:val="20"/>
      <w:lang w:val="es-AR" w:eastAsia="es-ES"/>
    </w:rPr>
  </w:style>
  <w:style w:type="character" w:customStyle="1" w:styleId="Ttulo3Car">
    <w:name w:val="Título 3 Car"/>
    <w:basedOn w:val="Fuentedeprrafopredeter"/>
    <w:link w:val="Ttulo3"/>
    <w:rsid w:val="00894043"/>
    <w:rPr>
      <w:rFonts w:ascii="Times New Roman" w:eastAsia="Times New Roman" w:hAnsi="Times New Roman" w:cs="Times New Roman"/>
      <w:b/>
      <w:szCs w:val="20"/>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4003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 Cosentino</dc:creator>
  <cp:lastModifiedBy>Susana Cosentino</cp:lastModifiedBy>
  <cp:revision>1</cp:revision>
  <dcterms:created xsi:type="dcterms:W3CDTF">2019-01-07T19:52:00Z</dcterms:created>
  <dcterms:modified xsi:type="dcterms:W3CDTF">2019-01-07T19:53:00Z</dcterms:modified>
</cp:coreProperties>
</file>