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70" w:rsidRPr="00323570" w:rsidRDefault="00323570" w:rsidP="00323570">
      <w:pPr>
        <w:pStyle w:val="Ttulo1"/>
      </w:pPr>
      <w:r w:rsidRPr="00323570">
        <w:t>Información importante sobre los Centros terapéuticos y/o de Rehabilitación durante el ASPO y el DSPO</w:t>
      </w:r>
    </w:p>
    <w:p w:rsidR="00323570" w:rsidRDefault="00323570" w:rsidP="00323570">
      <w:pPr>
        <w:shd w:val="clear" w:color="auto" w:fill="FFFFFF"/>
        <w:spacing w:after="0" w:line="276" w:lineRule="auto"/>
        <w:rPr>
          <w:rFonts w:eastAsia="Times New Roman" w:cstheme="minorHAnsi"/>
          <w:color w:val="222222"/>
          <w:sz w:val="28"/>
          <w:szCs w:val="28"/>
          <w:lang w:val="es-ES" w:eastAsia="es-ES"/>
        </w:rPr>
      </w:pP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Fonts w:eastAsia="Times New Roman" w:cstheme="minorHAnsi"/>
          <w:color w:val="222222"/>
          <w:sz w:val="28"/>
          <w:szCs w:val="28"/>
          <w:lang w:val="es-ES" w:eastAsia="es-ES"/>
        </w:rPr>
        <w:t xml:space="preserve">El lunes 26 de octubre, mediante el decreto </w:t>
      </w:r>
      <w:r w:rsidRPr="00323570">
        <w:rPr>
          <w:rStyle w:val="Hipervnculo"/>
          <w:sz w:val="28"/>
          <w:szCs w:val="28"/>
          <w:u w:val="none"/>
          <w:lang w:val="es-ES" w:eastAsia="es-ES"/>
        </w:rPr>
        <w:t>814/2020</w:t>
      </w:r>
      <w:r w:rsidRPr="00323570">
        <w:rPr>
          <w:rFonts w:eastAsia="Times New Roman" w:cstheme="minorHAnsi"/>
          <w:color w:val="222222"/>
          <w:sz w:val="28"/>
          <w:szCs w:val="28"/>
          <w:lang w:val="es-ES" w:eastAsia="es-ES"/>
        </w:rPr>
        <w:t xml:space="preserve"> publicado en el Boletín Oficial de la República Argentina, quedó establecido como podrán realizarse actividades de servicios, en este caso nos referiremos a las prestaciones para personas con discapacidad, consideradas esenciales en todo el territorio argentino.</w:t>
      </w: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Fonts w:eastAsia="Times New Roman" w:cstheme="minorHAnsi"/>
          <w:color w:val="222222"/>
          <w:sz w:val="28"/>
          <w:szCs w:val="28"/>
          <w:lang w:val="es-ES" w:eastAsia="es-ES"/>
        </w:rPr>
        <w:t> </w:t>
      </w: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Fonts w:eastAsia="Times New Roman" w:cstheme="minorHAnsi"/>
          <w:color w:val="222222"/>
          <w:sz w:val="28"/>
          <w:szCs w:val="28"/>
          <w:lang w:val="es-ES" w:eastAsia="es-ES"/>
        </w:rPr>
        <w:t>El Directorio de Prestaciones básicas de Atención Integral a favor de las Personas con discapacidad elaboró recomendaciones que son un recurso técnico para las autoridades sanitarias que deban elaborar los protocolos correspondientes en sus respectivas jurisdicciones, las que pueden ser c</w:t>
      </w:r>
      <w:r>
        <w:rPr>
          <w:rFonts w:eastAsia="Times New Roman" w:cstheme="minorHAnsi"/>
          <w:color w:val="222222"/>
          <w:sz w:val="28"/>
          <w:szCs w:val="28"/>
          <w:lang w:val="es-ES" w:eastAsia="es-ES"/>
        </w:rPr>
        <w:t>onsultadas en el acta 401/2020 en el siguiente link:</w:t>
      </w:r>
    </w:p>
    <w:p w:rsidR="00323570" w:rsidRDefault="00323570" w:rsidP="00323570">
      <w:pPr>
        <w:shd w:val="clear" w:color="auto" w:fill="FFFFFF"/>
        <w:spacing w:after="0" w:line="276" w:lineRule="auto"/>
        <w:rPr>
          <w:rStyle w:val="Hipervnculo"/>
          <w:sz w:val="28"/>
          <w:szCs w:val="28"/>
          <w:u w:val="none"/>
          <w:lang w:val="es-ES" w:eastAsia="es-ES"/>
        </w:rPr>
      </w:pPr>
      <w:hyperlink r:id="rId7" w:tgtFrame="_blank" w:history="1">
        <w:r w:rsidRPr="00323570">
          <w:rPr>
            <w:rStyle w:val="Hipervnculo"/>
            <w:sz w:val="28"/>
            <w:szCs w:val="28"/>
            <w:u w:val="none"/>
            <w:lang w:val="es-ES" w:eastAsia="es-ES"/>
          </w:rPr>
          <w:t>https://www.argentina.gob.ar/estructura-andis/Directorio-del-Sistema-de-Prestaciones-B%C3%A1sicas</w:t>
        </w:r>
      </w:hyperlink>
    </w:p>
    <w:p w:rsidR="00323570" w:rsidRPr="00323570" w:rsidRDefault="00323570" w:rsidP="00323570">
      <w:pPr>
        <w:shd w:val="clear" w:color="auto" w:fill="FFFFFF"/>
        <w:spacing w:after="0" w:line="276" w:lineRule="auto"/>
        <w:rPr>
          <w:rStyle w:val="Hipervnculo"/>
          <w:rFonts w:cstheme="minorHAnsi"/>
          <w:sz w:val="28"/>
          <w:szCs w:val="28"/>
          <w:u w:val="none"/>
          <w:lang w:val="es-ES" w:eastAsia="es-ES"/>
        </w:rPr>
      </w:pP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Fonts w:eastAsia="Times New Roman" w:cstheme="minorHAnsi"/>
          <w:color w:val="222222"/>
          <w:sz w:val="28"/>
          <w:szCs w:val="28"/>
          <w:lang w:val="es-ES" w:eastAsia="es-ES"/>
        </w:rPr>
        <w:t xml:space="preserve">En el caso del </w:t>
      </w:r>
      <w:r w:rsidRPr="00323570">
        <w:rPr>
          <w:rStyle w:val="Textoennegrita"/>
          <w:rFonts w:cstheme="minorHAnsi"/>
          <w:sz w:val="28"/>
          <w:szCs w:val="28"/>
          <w:lang w:val="es-ES" w:eastAsia="es-ES"/>
        </w:rPr>
        <w:t xml:space="preserve">“Distanciamiento Social, Preventivo y Obligatorio” </w:t>
      </w:r>
      <w:r w:rsidRPr="00323570">
        <w:rPr>
          <w:rStyle w:val="Textoennegrita"/>
          <w:rFonts w:cstheme="minorHAnsi"/>
          <w:sz w:val="28"/>
          <w:szCs w:val="28"/>
        </w:rPr>
        <w:t>(DSPO)</w:t>
      </w:r>
      <w:r>
        <w:rPr>
          <w:rFonts w:eastAsia="Times New Roman" w:cstheme="minorHAnsi"/>
          <w:color w:val="222222"/>
          <w:sz w:val="28"/>
          <w:szCs w:val="28"/>
          <w:lang w:val="es-ES" w:eastAsia="es-ES"/>
        </w:rPr>
        <w:t xml:space="preserve"> </w:t>
      </w:r>
      <w:r w:rsidRPr="00323570">
        <w:rPr>
          <w:rFonts w:eastAsia="Times New Roman" w:cstheme="minorHAnsi"/>
          <w:color w:val="222222"/>
          <w:sz w:val="28"/>
          <w:szCs w:val="28"/>
          <w:lang w:val="es-ES" w:eastAsia="es-ES"/>
        </w:rPr>
        <w:t>autorizado por el gobierno en algunas provincias de manera total o parcial, sólo podrán realizar estas actividades aquellas que posean un protocolo de funcionamiento aprobado por las autoridades sanitarias provinciales con respecto a las recomendaciones del Ministerio de Salud de la Nación. En estas situaciones, se encuentran restringidas el uso de las superficies cerradas hasta un 50 por ciento de su capacidad.</w:t>
      </w:r>
    </w:p>
    <w:p w:rsidR="00323570" w:rsidRPr="00323570" w:rsidRDefault="00323570" w:rsidP="00323570">
      <w:pPr>
        <w:shd w:val="clear" w:color="auto" w:fill="FFFFFF"/>
        <w:spacing w:after="0" w:line="240" w:lineRule="auto"/>
        <w:rPr>
          <w:rFonts w:eastAsia="Times New Roman" w:cstheme="minorHAnsi"/>
          <w:color w:val="222222"/>
          <w:sz w:val="28"/>
          <w:szCs w:val="28"/>
          <w:lang w:val="es-ES" w:eastAsia="es-ES"/>
        </w:rPr>
      </w:pPr>
    </w:p>
    <w:p w:rsid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Fonts w:eastAsia="Times New Roman" w:cstheme="minorHAnsi"/>
          <w:color w:val="222222"/>
          <w:sz w:val="28"/>
          <w:szCs w:val="28"/>
          <w:lang w:val="es-ES" w:eastAsia="es-ES"/>
        </w:rPr>
        <w:t xml:space="preserve">En cambio, en los casos en que la provincia entera o algunas ciudades de la misma, se encuentren en la fase de </w:t>
      </w:r>
      <w:r w:rsidRPr="00323570">
        <w:rPr>
          <w:rStyle w:val="Textoennegrita"/>
          <w:rFonts w:cstheme="minorHAnsi"/>
          <w:sz w:val="28"/>
          <w:szCs w:val="28"/>
          <w:lang w:val="es-ES" w:eastAsia="es-ES"/>
        </w:rPr>
        <w:t>“Aislamiento Social, Preventivo y Obligatorio”</w:t>
      </w:r>
      <w:r w:rsidRPr="00323570">
        <w:rPr>
          <w:rStyle w:val="Textoennegrita"/>
          <w:rFonts w:cstheme="minorHAnsi"/>
          <w:sz w:val="28"/>
          <w:szCs w:val="28"/>
        </w:rPr>
        <w:t xml:space="preserve"> (ASPO),</w:t>
      </w:r>
      <w:r w:rsidRPr="00323570">
        <w:rPr>
          <w:rFonts w:eastAsia="Times New Roman" w:cstheme="minorHAnsi"/>
          <w:color w:val="222222"/>
          <w:sz w:val="28"/>
          <w:szCs w:val="28"/>
          <w:lang w:val="es-ES" w:eastAsia="es-ES"/>
        </w:rPr>
        <w:t xml:space="preserve"> existen dos procedimientos diferentes para autorizar el uso de servicios de los Centros Terapéuticos y/o de Rehabilitación:</w:t>
      </w: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p>
    <w:p w:rsid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Style w:val="Textoennegrita"/>
          <w:rFonts w:cstheme="minorHAnsi"/>
          <w:sz w:val="28"/>
          <w:szCs w:val="28"/>
          <w:lang w:val="es-ES" w:eastAsia="es-ES"/>
        </w:rPr>
        <w:t>En localidades que posean una población de hasta 500.000 habitantes</w:t>
      </w:r>
      <w:r w:rsidRPr="00323570">
        <w:rPr>
          <w:rFonts w:eastAsia="Times New Roman" w:cstheme="minorHAnsi"/>
          <w:color w:val="222222"/>
          <w:sz w:val="28"/>
          <w:szCs w:val="28"/>
          <w:lang w:val="es-ES" w:eastAsia="es-ES"/>
        </w:rPr>
        <w:t xml:space="preserve">, la autoridad para disponer la excepción de servicios es el/la Gobernador/a de Provincia, con previa aprobación de autoridad sanitaria provincial y se debe implementar un protocolo de funcionamiento de la actividad </w:t>
      </w:r>
      <w:r w:rsidRPr="00323570">
        <w:rPr>
          <w:rFonts w:eastAsia="Times New Roman" w:cstheme="minorHAnsi"/>
          <w:color w:val="222222"/>
          <w:sz w:val="28"/>
          <w:szCs w:val="28"/>
          <w:lang w:val="es-ES" w:eastAsia="es-ES"/>
        </w:rPr>
        <w:lastRenderedPageBreak/>
        <w:t>respectiva que contemple las recomendaciones de la autoridad sanitaria nacional.</w:t>
      </w: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Fonts w:eastAsia="Times New Roman" w:cstheme="minorHAnsi"/>
          <w:color w:val="222222"/>
          <w:sz w:val="28"/>
          <w:szCs w:val="28"/>
          <w:lang w:val="es-ES" w:eastAsia="es-ES"/>
        </w:rPr>
        <w:t xml:space="preserve">Por otro lado, </w:t>
      </w:r>
      <w:r w:rsidRPr="00323570">
        <w:rPr>
          <w:rStyle w:val="Textoennegrita"/>
          <w:rFonts w:cstheme="minorHAnsi"/>
          <w:sz w:val="28"/>
          <w:szCs w:val="28"/>
          <w:lang w:val="es-ES" w:eastAsia="es-ES"/>
        </w:rPr>
        <w:t>en las localidades cuya aglomeración urbana exceda los 500.000 habitantes</w:t>
      </w:r>
      <w:r w:rsidRPr="00323570">
        <w:rPr>
          <w:rFonts w:eastAsia="Times New Roman" w:cstheme="minorHAnsi"/>
          <w:color w:val="222222"/>
          <w:sz w:val="28"/>
          <w:szCs w:val="28"/>
          <w:lang w:val="es-ES" w:eastAsia="es-ES"/>
        </w:rPr>
        <w:t>, la responsabilidad de autorizar la excepción de servicios es del Jefe de Gabinete de Ministros en su carácter de Coordinador del Plan Unidad de Coordinación General del Plan Integral para la Prevención de Eventos de Salud Pública de Importancia Internacional” a solicitud de los Gobernadores o el Jefe de Gobierno de CABA, previa aprobación de la autoridad sanitaria local y con indicación del protocolo a implementar.</w:t>
      </w:r>
    </w:p>
    <w:p w:rsidR="00323570" w:rsidRPr="00323570" w:rsidRDefault="00323570" w:rsidP="00323570">
      <w:pPr>
        <w:shd w:val="clear" w:color="auto" w:fill="FFFFFF"/>
        <w:spacing w:after="0" w:line="276" w:lineRule="auto"/>
        <w:rPr>
          <w:rFonts w:eastAsia="Times New Roman" w:cstheme="minorHAnsi"/>
          <w:color w:val="222222"/>
          <w:sz w:val="28"/>
          <w:szCs w:val="28"/>
          <w:lang w:val="es-ES" w:eastAsia="es-ES"/>
        </w:rPr>
      </w:pPr>
      <w:r w:rsidRPr="00323570">
        <w:rPr>
          <w:rFonts w:eastAsia="Times New Roman" w:cstheme="minorHAnsi"/>
          <w:color w:val="222222"/>
          <w:sz w:val="28"/>
          <w:szCs w:val="28"/>
          <w:lang w:val="es-ES" w:eastAsia="es-ES"/>
        </w:rPr>
        <w:t> </w:t>
      </w:r>
    </w:p>
    <w:p w:rsidR="00323570" w:rsidRPr="00323570" w:rsidRDefault="00323570" w:rsidP="00323570">
      <w:pPr>
        <w:pStyle w:val="Ttulo2"/>
        <w:rPr>
          <w:rFonts w:eastAsia="Times New Roman"/>
          <w:sz w:val="28"/>
          <w:szCs w:val="28"/>
          <w:lang w:val="es-ES" w:eastAsia="es-ES"/>
        </w:rPr>
      </w:pPr>
      <w:r w:rsidRPr="00323570">
        <w:rPr>
          <w:rFonts w:eastAsia="Times New Roman"/>
          <w:sz w:val="28"/>
          <w:szCs w:val="28"/>
          <w:lang w:val="es-ES" w:eastAsia="es-ES"/>
        </w:rPr>
        <w:t>A continuación, les detallamos el estado en que se encuentra cada provincia con respecto al ASPO y DSPO respectivamente.</w:t>
      </w:r>
    </w:p>
    <w:p w:rsidR="00903A74" w:rsidRPr="00903A74" w:rsidRDefault="00903A74">
      <w:pPr>
        <w:rPr>
          <w:sz w:val="24"/>
          <w:szCs w:val="24"/>
        </w:rPr>
      </w:pPr>
    </w:p>
    <w:tbl>
      <w:tblPr>
        <w:tblW w:w="8980" w:type="dxa"/>
        <w:tblInd w:w="-10" w:type="dxa"/>
        <w:tblCellMar>
          <w:left w:w="70" w:type="dxa"/>
          <w:right w:w="70" w:type="dxa"/>
        </w:tblCellMar>
        <w:tblLook w:val="04A0" w:firstRow="1" w:lastRow="0" w:firstColumn="1" w:lastColumn="0" w:noHBand="0" w:noVBand="1"/>
      </w:tblPr>
      <w:tblGrid>
        <w:gridCol w:w="2065"/>
        <w:gridCol w:w="5215"/>
        <w:gridCol w:w="1700"/>
      </w:tblGrid>
      <w:tr w:rsidR="004D4EB3" w:rsidRPr="004D4EB3" w:rsidTr="009F1AD6">
        <w:trPr>
          <w:trHeight w:val="312"/>
        </w:trPr>
        <w:tc>
          <w:tcPr>
            <w:tcW w:w="2065" w:type="dxa"/>
            <w:shd w:val="clear" w:color="auto" w:fill="auto"/>
            <w:vAlign w:val="bottom"/>
            <w:hideMark/>
          </w:tcPr>
          <w:p w:rsidR="004D4EB3" w:rsidRPr="004D4EB3" w:rsidRDefault="004D4EB3" w:rsidP="004D4EB3">
            <w:pPr>
              <w:rPr>
                <w:rStyle w:val="Textoennegrita"/>
              </w:rPr>
            </w:pPr>
            <w:r w:rsidRPr="004D4EB3">
              <w:rPr>
                <w:rStyle w:val="Textoennegrita"/>
              </w:rPr>
              <w:t>Provincia</w:t>
            </w:r>
          </w:p>
        </w:tc>
        <w:tc>
          <w:tcPr>
            <w:tcW w:w="5215" w:type="dxa"/>
            <w:shd w:val="clear" w:color="auto" w:fill="auto"/>
            <w:vAlign w:val="bottom"/>
            <w:hideMark/>
          </w:tcPr>
          <w:p w:rsidR="004D4EB3" w:rsidRPr="004D4EB3" w:rsidRDefault="004D4EB3" w:rsidP="004D4EB3">
            <w:pPr>
              <w:pStyle w:val="Prrafodelista"/>
              <w:rPr>
                <w:rStyle w:val="Textoennegrita"/>
              </w:rPr>
            </w:pPr>
            <w:r w:rsidRPr="004D4EB3">
              <w:rPr>
                <w:rStyle w:val="Textoennegrita"/>
              </w:rPr>
              <w:t xml:space="preserve">ASPO </w:t>
            </w:r>
            <w:bookmarkStart w:id="0" w:name="_GoBack"/>
            <w:bookmarkEnd w:id="0"/>
          </w:p>
        </w:tc>
        <w:tc>
          <w:tcPr>
            <w:tcW w:w="1700" w:type="dxa"/>
            <w:shd w:val="clear" w:color="auto" w:fill="auto"/>
            <w:vAlign w:val="bottom"/>
            <w:hideMark/>
          </w:tcPr>
          <w:p w:rsidR="004D4EB3" w:rsidRPr="004D4EB3" w:rsidRDefault="004D4EB3" w:rsidP="004D4EB3">
            <w:pPr>
              <w:pStyle w:val="Prrafodelista"/>
              <w:rPr>
                <w:rStyle w:val="Textoennegrita"/>
              </w:rPr>
            </w:pPr>
            <w:r w:rsidRPr="004D4EB3">
              <w:rPr>
                <w:rStyle w:val="Textoennegrita"/>
              </w:rPr>
              <w:t>DSPO</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sidRPr="000723F8">
              <w:rPr>
                <w:lang w:eastAsia="es-AR"/>
              </w:rPr>
              <w:t>Catamarca</w:t>
            </w:r>
          </w:p>
        </w:tc>
        <w:tc>
          <w:tcPr>
            <w:tcW w:w="5215" w:type="dxa"/>
            <w:shd w:val="clear" w:color="auto" w:fill="auto"/>
            <w:vAlign w:val="bottom"/>
            <w:hideMark/>
          </w:tcPr>
          <w:p w:rsidR="004D4EB3" w:rsidRPr="000723F8" w:rsidRDefault="004D4EB3" w:rsidP="004D4EB3">
            <w:pPr>
              <w:pStyle w:val="Prrafodelista"/>
              <w:rPr>
                <w:sz w:val="24"/>
                <w:szCs w:val="24"/>
                <w:lang w:eastAsia="es-AR"/>
              </w:rPr>
            </w:pP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completa</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Pr>
                <w:lang w:eastAsia="es-AR"/>
              </w:rPr>
              <w:t>C</w:t>
            </w:r>
            <w:r w:rsidRPr="000723F8">
              <w:rPr>
                <w:lang w:eastAsia="es-AR"/>
              </w:rPr>
              <w:t>orrientes</w:t>
            </w:r>
          </w:p>
        </w:tc>
        <w:tc>
          <w:tcPr>
            <w:tcW w:w="5215" w:type="dxa"/>
            <w:shd w:val="clear" w:color="auto" w:fill="auto"/>
            <w:vAlign w:val="bottom"/>
            <w:hideMark/>
          </w:tcPr>
          <w:p w:rsidR="004D4EB3" w:rsidRPr="000723F8" w:rsidRDefault="004D4EB3" w:rsidP="004D4EB3">
            <w:pPr>
              <w:pStyle w:val="Prrafodelista"/>
              <w:rPr>
                <w:sz w:val="24"/>
                <w:szCs w:val="24"/>
                <w:lang w:eastAsia="es-AR"/>
              </w:rPr>
            </w:pP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completa</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Pr>
                <w:lang w:eastAsia="es-AR"/>
              </w:rPr>
              <w:t>E</w:t>
            </w:r>
            <w:r w:rsidRPr="000723F8">
              <w:rPr>
                <w:lang w:eastAsia="es-AR"/>
              </w:rPr>
              <w:t xml:space="preserve">ntre </w:t>
            </w:r>
            <w:r>
              <w:rPr>
                <w:lang w:eastAsia="es-AR"/>
              </w:rPr>
              <w:t>R</w:t>
            </w:r>
            <w:r w:rsidRPr="000723F8">
              <w:rPr>
                <w:lang w:eastAsia="es-AR"/>
              </w:rPr>
              <w:t>íos</w:t>
            </w:r>
          </w:p>
        </w:tc>
        <w:tc>
          <w:tcPr>
            <w:tcW w:w="5215" w:type="dxa"/>
            <w:shd w:val="clear" w:color="auto" w:fill="auto"/>
            <w:vAlign w:val="bottom"/>
            <w:hideMark/>
          </w:tcPr>
          <w:p w:rsidR="004D4EB3" w:rsidRPr="000723F8" w:rsidRDefault="004D4EB3" w:rsidP="004D4EB3">
            <w:pPr>
              <w:pStyle w:val="Prrafodelista"/>
              <w:rPr>
                <w:sz w:val="24"/>
                <w:szCs w:val="24"/>
                <w:lang w:eastAsia="es-AR"/>
              </w:rPr>
            </w:pP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completa</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Pr>
                <w:lang w:eastAsia="es-AR"/>
              </w:rPr>
              <w:t>M</w:t>
            </w:r>
            <w:r w:rsidRPr="000723F8">
              <w:rPr>
                <w:lang w:eastAsia="es-AR"/>
              </w:rPr>
              <w:t>isiones</w:t>
            </w:r>
          </w:p>
        </w:tc>
        <w:tc>
          <w:tcPr>
            <w:tcW w:w="5215" w:type="dxa"/>
            <w:shd w:val="clear" w:color="auto" w:fill="auto"/>
            <w:vAlign w:val="bottom"/>
            <w:hideMark/>
          </w:tcPr>
          <w:p w:rsidR="004D4EB3" w:rsidRPr="000723F8" w:rsidRDefault="004D4EB3" w:rsidP="004D4EB3">
            <w:pPr>
              <w:pStyle w:val="Prrafodelista"/>
              <w:rPr>
                <w:sz w:val="24"/>
                <w:szCs w:val="24"/>
                <w:lang w:eastAsia="es-AR"/>
              </w:rPr>
            </w:pP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completa</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sidRPr="000723F8">
              <w:rPr>
                <w:lang w:eastAsia="es-AR"/>
              </w:rPr>
              <w:t>Formosa</w:t>
            </w:r>
          </w:p>
        </w:tc>
        <w:tc>
          <w:tcPr>
            <w:tcW w:w="5215" w:type="dxa"/>
            <w:shd w:val="clear" w:color="auto" w:fill="auto"/>
            <w:vAlign w:val="bottom"/>
            <w:hideMark/>
          </w:tcPr>
          <w:p w:rsidR="004D4EB3" w:rsidRPr="000723F8" w:rsidRDefault="004D4EB3" w:rsidP="004D4EB3">
            <w:pPr>
              <w:pStyle w:val="Prrafodelista"/>
              <w:rPr>
                <w:sz w:val="24"/>
                <w:szCs w:val="24"/>
                <w:lang w:eastAsia="es-AR"/>
              </w:rPr>
            </w:pP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completa</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Pr>
                <w:lang w:eastAsia="es-AR"/>
              </w:rPr>
              <w:t>L</w:t>
            </w:r>
            <w:r w:rsidRPr="000723F8">
              <w:rPr>
                <w:lang w:eastAsia="es-AR"/>
              </w:rPr>
              <w:t xml:space="preserve">a </w:t>
            </w:r>
            <w:r>
              <w:rPr>
                <w:lang w:eastAsia="es-AR"/>
              </w:rPr>
              <w:t>Pampa</w:t>
            </w:r>
          </w:p>
        </w:tc>
        <w:tc>
          <w:tcPr>
            <w:tcW w:w="5215" w:type="dxa"/>
            <w:shd w:val="clear" w:color="auto" w:fill="auto"/>
            <w:vAlign w:val="bottom"/>
            <w:hideMark/>
          </w:tcPr>
          <w:p w:rsidR="004D4EB3" w:rsidRPr="000723F8" w:rsidRDefault="004D4EB3" w:rsidP="004D4EB3">
            <w:pPr>
              <w:pStyle w:val="Prrafodelista"/>
              <w:rPr>
                <w:sz w:val="24"/>
                <w:szCs w:val="24"/>
                <w:lang w:eastAsia="es-AR"/>
              </w:rPr>
            </w:pP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completa</w:t>
            </w:r>
          </w:p>
        </w:tc>
      </w:tr>
      <w:tr w:rsidR="00703F2C" w:rsidRPr="000723F8" w:rsidTr="009F1AD6">
        <w:trPr>
          <w:trHeight w:val="312"/>
        </w:trPr>
        <w:tc>
          <w:tcPr>
            <w:tcW w:w="2065" w:type="dxa"/>
            <w:shd w:val="clear" w:color="auto" w:fill="auto"/>
            <w:vAlign w:val="bottom"/>
            <w:hideMark/>
          </w:tcPr>
          <w:p w:rsidR="00703F2C" w:rsidRPr="000723F8" w:rsidRDefault="00703F2C" w:rsidP="00BD5E83">
            <w:pPr>
              <w:rPr>
                <w:lang w:eastAsia="es-AR"/>
              </w:rPr>
            </w:pPr>
            <w:r>
              <w:rPr>
                <w:lang w:eastAsia="es-AR"/>
              </w:rPr>
              <w:t>Jujuy</w:t>
            </w:r>
          </w:p>
        </w:tc>
        <w:tc>
          <w:tcPr>
            <w:tcW w:w="5215" w:type="dxa"/>
            <w:shd w:val="clear" w:color="auto" w:fill="auto"/>
            <w:vAlign w:val="bottom"/>
            <w:hideMark/>
          </w:tcPr>
          <w:p w:rsidR="00703F2C" w:rsidRPr="000723F8" w:rsidRDefault="00703F2C" w:rsidP="00BD5E83">
            <w:pPr>
              <w:pStyle w:val="Prrafodelista"/>
              <w:rPr>
                <w:sz w:val="24"/>
                <w:szCs w:val="24"/>
                <w:lang w:eastAsia="es-AR"/>
              </w:rPr>
            </w:pPr>
          </w:p>
        </w:tc>
        <w:tc>
          <w:tcPr>
            <w:tcW w:w="1700" w:type="dxa"/>
            <w:shd w:val="clear" w:color="auto" w:fill="auto"/>
            <w:vAlign w:val="bottom"/>
            <w:hideMark/>
          </w:tcPr>
          <w:p w:rsidR="00703F2C" w:rsidRPr="000723F8" w:rsidRDefault="00703F2C" w:rsidP="00BD5E83">
            <w:pPr>
              <w:pStyle w:val="Prrafodelista"/>
              <w:rPr>
                <w:lang w:eastAsia="es-AR"/>
              </w:rPr>
            </w:pPr>
            <w:r w:rsidRPr="000723F8">
              <w:rPr>
                <w:lang w:eastAsia="es-AR"/>
              </w:rPr>
              <w:t>completa</w:t>
            </w:r>
          </w:p>
        </w:tc>
      </w:tr>
      <w:tr w:rsidR="004D4EB3" w:rsidRPr="000723F8" w:rsidTr="009F1AD6">
        <w:trPr>
          <w:trHeight w:val="624"/>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C</w:t>
            </w:r>
            <w:r w:rsidRPr="000723F8">
              <w:rPr>
                <w:lang w:eastAsia="es-AR"/>
              </w:rPr>
              <w:t>haco</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San Fernando, Comandante Fernández, Mayor Luis Jorge Fontana y Chacabuco</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sidRPr="000723F8">
              <w:rPr>
                <w:lang w:eastAsia="es-AR"/>
              </w:rPr>
              <w:t>Chubut</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Viedma</w:t>
            </w:r>
            <w:r w:rsidR="00703F2C">
              <w:rPr>
                <w:sz w:val="24"/>
                <w:szCs w:val="24"/>
                <w:lang w:eastAsia="es-AR"/>
              </w:rPr>
              <w:t xml:space="preserve">, Rawson, </w:t>
            </w:r>
            <w:proofErr w:type="spellStart"/>
            <w:r w:rsidR="00703F2C">
              <w:rPr>
                <w:sz w:val="24"/>
                <w:szCs w:val="24"/>
                <w:lang w:eastAsia="es-AR"/>
              </w:rPr>
              <w:t>Gaiman</w:t>
            </w:r>
            <w:proofErr w:type="spellEnd"/>
            <w:r w:rsidR="00703F2C">
              <w:rPr>
                <w:sz w:val="24"/>
                <w:szCs w:val="24"/>
                <w:lang w:eastAsia="es-AR"/>
              </w:rPr>
              <w:t>, Sarmiento</w:t>
            </w:r>
            <w:r w:rsidRPr="004D4EB3">
              <w:rPr>
                <w:sz w:val="24"/>
                <w:szCs w:val="24"/>
                <w:lang w:eastAsia="es-AR"/>
              </w:rPr>
              <w:t xml:space="preserve"> y Escalante</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624"/>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C</w:t>
            </w:r>
            <w:r w:rsidRPr="000723F8">
              <w:rPr>
                <w:lang w:eastAsia="es-AR"/>
              </w:rPr>
              <w:t>órdoba</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Capital, Santa María, Punilla, Colón, Tercero Arriba y General San Martín</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La R</w:t>
            </w:r>
            <w:r w:rsidRPr="000723F8">
              <w:rPr>
                <w:lang w:eastAsia="es-AR"/>
              </w:rPr>
              <w:t>ioja</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Chilecito</w:t>
            </w:r>
          </w:p>
        </w:tc>
        <w:tc>
          <w:tcPr>
            <w:tcW w:w="1700" w:type="dxa"/>
            <w:shd w:val="clear" w:color="auto" w:fill="auto"/>
            <w:vAlign w:val="bottom"/>
            <w:hideMark/>
          </w:tcPr>
          <w:p w:rsidR="004D4EB3" w:rsidRPr="000723F8" w:rsidRDefault="004D4EB3" w:rsidP="004D4EB3">
            <w:pPr>
              <w:pStyle w:val="Prrafodelista"/>
              <w:rPr>
                <w:rFonts w:ascii="Verdana" w:hAnsi="Verdana"/>
                <w:sz w:val="14"/>
                <w:szCs w:val="14"/>
                <w:lang w:eastAsia="es-AR"/>
              </w:rPr>
            </w:pPr>
            <w:r w:rsidRPr="000723F8">
              <w:rPr>
                <w:rFonts w:ascii="Verdana" w:hAnsi="Verdana"/>
                <w:sz w:val="14"/>
                <w:szCs w:val="14"/>
                <w:lang w:eastAsia="es-AR"/>
              </w:rPr>
              <w:t>parcial</w:t>
            </w:r>
          </w:p>
        </w:tc>
      </w:tr>
      <w:tr w:rsidR="004D4EB3" w:rsidRPr="000723F8" w:rsidTr="009F1AD6">
        <w:trPr>
          <w:trHeight w:val="624"/>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sidRPr="000723F8">
              <w:rPr>
                <w:lang w:eastAsia="es-AR"/>
              </w:rPr>
              <w:t>Mendoza</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 xml:space="preserve">Capital, Luján de Cuyo, Las Heras, Maipú, </w:t>
            </w:r>
            <w:proofErr w:type="spellStart"/>
            <w:r w:rsidRPr="004D4EB3">
              <w:rPr>
                <w:sz w:val="24"/>
                <w:szCs w:val="24"/>
                <w:lang w:eastAsia="es-AR"/>
              </w:rPr>
              <w:t>Guaymallén</w:t>
            </w:r>
            <w:proofErr w:type="spellEnd"/>
            <w:r w:rsidRPr="004D4EB3">
              <w:rPr>
                <w:sz w:val="24"/>
                <w:szCs w:val="24"/>
                <w:lang w:eastAsia="es-AR"/>
              </w:rPr>
              <w:t xml:space="preserve">, Godoy Cruz, </w:t>
            </w:r>
            <w:proofErr w:type="spellStart"/>
            <w:r w:rsidRPr="004D4EB3">
              <w:rPr>
                <w:sz w:val="24"/>
                <w:szCs w:val="24"/>
                <w:lang w:eastAsia="es-AR"/>
              </w:rPr>
              <w:t>Tunuyán</w:t>
            </w:r>
            <w:proofErr w:type="spellEnd"/>
            <w:r w:rsidRPr="004D4EB3">
              <w:rPr>
                <w:sz w:val="24"/>
                <w:szCs w:val="24"/>
                <w:lang w:eastAsia="es-AR"/>
              </w:rPr>
              <w:t xml:space="preserve"> y </w:t>
            </w:r>
            <w:proofErr w:type="spellStart"/>
            <w:r w:rsidRPr="004D4EB3">
              <w:rPr>
                <w:sz w:val="24"/>
                <w:szCs w:val="24"/>
                <w:lang w:eastAsia="es-AR"/>
              </w:rPr>
              <w:t>Tupungato</w:t>
            </w:r>
            <w:proofErr w:type="spellEnd"/>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624"/>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sidRPr="000723F8">
              <w:rPr>
                <w:lang w:eastAsia="es-AR"/>
              </w:rPr>
              <w:t>Neuquén</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 xml:space="preserve">Neuquén, </w:t>
            </w:r>
            <w:proofErr w:type="spellStart"/>
            <w:r w:rsidRPr="004D4EB3">
              <w:rPr>
                <w:sz w:val="24"/>
                <w:szCs w:val="24"/>
                <w:lang w:eastAsia="es-AR"/>
              </w:rPr>
              <w:t>Plottier</w:t>
            </w:r>
            <w:proofErr w:type="spellEnd"/>
            <w:r w:rsidRPr="004D4EB3">
              <w:rPr>
                <w:sz w:val="24"/>
                <w:szCs w:val="24"/>
                <w:lang w:eastAsia="es-AR"/>
              </w:rPr>
              <w:t xml:space="preserve">, Centenario, </w:t>
            </w:r>
            <w:proofErr w:type="spellStart"/>
            <w:r w:rsidRPr="004D4EB3">
              <w:rPr>
                <w:sz w:val="24"/>
                <w:szCs w:val="24"/>
                <w:lang w:eastAsia="es-AR"/>
              </w:rPr>
              <w:t>Senillosa</w:t>
            </w:r>
            <w:proofErr w:type="spellEnd"/>
            <w:r w:rsidRPr="004D4EB3">
              <w:rPr>
                <w:sz w:val="24"/>
                <w:szCs w:val="24"/>
                <w:lang w:eastAsia="es-AR"/>
              </w:rPr>
              <w:t xml:space="preserve">, Cutral </w:t>
            </w:r>
            <w:proofErr w:type="spellStart"/>
            <w:r w:rsidRPr="004D4EB3">
              <w:rPr>
                <w:sz w:val="24"/>
                <w:szCs w:val="24"/>
                <w:lang w:eastAsia="es-AR"/>
              </w:rPr>
              <w:t>Có</w:t>
            </w:r>
            <w:proofErr w:type="spellEnd"/>
            <w:r w:rsidRPr="004D4EB3">
              <w:rPr>
                <w:sz w:val="24"/>
                <w:szCs w:val="24"/>
                <w:lang w:eastAsia="es-AR"/>
              </w:rPr>
              <w:t xml:space="preserve">, Plaza </w:t>
            </w:r>
            <w:proofErr w:type="spellStart"/>
            <w:r w:rsidRPr="004D4EB3">
              <w:rPr>
                <w:sz w:val="24"/>
                <w:szCs w:val="24"/>
                <w:lang w:eastAsia="es-AR"/>
              </w:rPr>
              <w:t>Huincul</w:t>
            </w:r>
            <w:proofErr w:type="spellEnd"/>
            <w:r w:rsidRPr="004D4EB3">
              <w:rPr>
                <w:sz w:val="24"/>
                <w:szCs w:val="24"/>
                <w:lang w:eastAsia="es-AR"/>
              </w:rPr>
              <w:t xml:space="preserve"> y Zapala</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Río N</w:t>
            </w:r>
            <w:r w:rsidRPr="000723F8">
              <w:rPr>
                <w:lang w:eastAsia="es-AR"/>
              </w:rPr>
              <w:t>egro</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 xml:space="preserve">Bariloche y Dina </w:t>
            </w:r>
            <w:proofErr w:type="spellStart"/>
            <w:r w:rsidR="00703F2C">
              <w:rPr>
                <w:sz w:val="24"/>
                <w:szCs w:val="24"/>
                <w:lang w:eastAsia="es-AR"/>
              </w:rPr>
              <w:t>Huapi</w:t>
            </w:r>
            <w:proofErr w:type="spellEnd"/>
            <w:r w:rsidR="00703F2C">
              <w:rPr>
                <w:sz w:val="24"/>
                <w:szCs w:val="24"/>
                <w:lang w:eastAsia="es-AR"/>
              </w:rPr>
              <w:t xml:space="preserve"> y los </w:t>
            </w:r>
            <w:r w:rsidRPr="004D4EB3">
              <w:rPr>
                <w:sz w:val="24"/>
                <w:szCs w:val="24"/>
                <w:lang w:eastAsia="es-AR"/>
              </w:rPr>
              <w:t>departamento</w:t>
            </w:r>
            <w:r w:rsidR="00703F2C">
              <w:rPr>
                <w:sz w:val="24"/>
                <w:szCs w:val="24"/>
                <w:lang w:eastAsia="es-AR"/>
              </w:rPr>
              <w:t>s</w:t>
            </w:r>
            <w:r w:rsidRPr="004D4EB3">
              <w:rPr>
                <w:sz w:val="24"/>
                <w:szCs w:val="24"/>
                <w:lang w:eastAsia="es-AR"/>
              </w:rPr>
              <w:t xml:space="preserve"> de General Roca</w:t>
            </w:r>
            <w:r w:rsidR="00703F2C">
              <w:rPr>
                <w:sz w:val="24"/>
                <w:szCs w:val="24"/>
                <w:lang w:eastAsia="es-AR"/>
              </w:rPr>
              <w:t xml:space="preserve"> y Adolfo Alsina</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624"/>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S</w:t>
            </w:r>
            <w:r w:rsidRPr="000723F8">
              <w:rPr>
                <w:lang w:eastAsia="es-AR"/>
              </w:rPr>
              <w:t>alta</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Capital</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San J</w:t>
            </w:r>
            <w:r w:rsidRPr="000723F8">
              <w:rPr>
                <w:lang w:eastAsia="es-AR"/>
              </w:rPr>
              <w:t>uan</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Rawson y Capital</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San Lu</w:t>
            </w:r>
            <w:r w:rsidRPr="000723F8">
              <w:rPr>
                <w:lang w:eastAsia="es-AR"/>
              </w:rPr>
              <w:t>is</w:t>
            </w:r>
          </w:p>
        </w:tc>
        <w:tc>
          <w:tcPr>
            <w:tcW w:w="5215" w:type="dxa"/>
            <w:shd w:val="clear" w:color="auto" w:fill="auto"/>
            <w:vAlign w:val="bottom"/>
            <w:hideMark/>
          </w:tcPr>
          <w:p w:rsidR="004D4EB3" w:rsidRPr="004D4EB3" w:rsidRDefault="00703F2C" w:rsidP="004D4EB3">
            <w:pPr>
              <w:rPr>
                <w:sz w:val="24"/>
                <w:szCs w:val="24"/>
                <w:lang w:eastAsia="es-AR"/>
              </w:rPr>
            </w:pPr>
            <w:r>
              <w:rPr>
                <w:sz w:val="24"/>
                <w:szCs w:val="24"/>
                <w:lang w:eastAsia="es-AR"/>
              </w:rPr>
              <w:t xml:space="preserve">Capital y </w:t>
            </w:r>
            <w:r w:rsidR="004D4EB3" w:rsidRPr="004D4EB3">
              <w:rPr>
                <w:sz w:val="24"/>
                <w:szCs w:val="24"/>
                <w:lang w:eastAsia="es-AR"/>
              </w:rPr>
              <w:t xml:space="preserve">General </w:t>
            </w:r>
            <w:proofErr w:type="spellStart"/>
            <w:r w:rsidR="004D4EB3" w:rsidRPr="004D4EB3">
              <w:rPr>
                <w:sz w:val="24"/>
                <w:szCs w:val="24"/>
                <w:lang w:eastAsia="es-AR"/>
              </w:rPr>
              <w:t>Pedernera</w:t>
            </w:r>
            <w:proofErr w:type="spellEnd"/>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Santa C</w:t>
            </w:r>
            <w:r w:rsidRPr="000723F8">
              <w:rPr>
                <w:lang w:eastAsia="es-AR"/>
              </w:rPr>
              <w:t>ruz</w:t>
            </w:r>
          </w:p>
        </w:tc>
        <w:tc>
          <w:tcPr>
            <w:tcW w:w="5215" w:type="dxa"/>
            <w:shd w:val="clear" w:color="auto" w:fill="auto"/>
            <w:vAlign w:val="bottom"/>
            <w:hideMark/>
          </w:tcPr>
          <w:p w:rsidR="004D4EB3" w:rsidRDefault="004D4EB3" w:rsidP="004D4EB3">
            <w:pPr>
              <w:pStyle w:val="Prrafodelista"/>
              <w:rPr>
                <w:sz w:val="24"/>
                <w:szCs w:val="24"/>
                <w:lang w:eastAsia="es-AR"/>
              </w:rPr>
            </w:pPr>
          </w:p>
          <w:p w:rsidR="004D4EB3" w:rsidRPr="004D4EB3" w:rsidRDefault="004D4EB3" w:rsidP="004D4EB3">
            <w:pPr>
              <w:rPr>
                <w:sz w:val="24"/>
                <w:szCs w:val="24"/>
                <w:lang w:eastAsia="es-AR"/>
              </w:rPr>
            </w:pPr>
            <w:r w:rsidRPr="004D4EB3">
              <w:rPr>
                <w:sz w:val="24"/>
                <w:szCs w:val="24"/>
                <w:lang w:eastAsia="es-AR"/>
              </w:rPr>
              <w:t>Río Gallegos, El Calafate</w:t>
            </w:r>
            <w:r w:rsidR="00703F2C">
              <w:rPr>
                <w:sz w:val="24"/>
                <w:szCs w:val="24"/>
                <w:lang w:eastAsia="es-AR"/>
              </w:rPr>
              <w:t>, Puerto Deseado</w:t>
            </w:r>
            <w:r w:rsidRPr="004D4EB3">
              <w:rPr>
                <w:sz w:val="24"/>
                <w:szCs w:val="24"/>
                <w:lang w:eastAsia="es-AR"/>
              </w:rPr>
              <w:t xml:space="preserve"> y Caleta Olivia</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624"/>
        </w:trPr>
        <w:tc>
          <w:tcPr>
            <w:tcW w:w="2065" w:type="dxa"/>
            <w:shd w:val="clear" w:color="auto" w:fill="auto"/>
            <w:vAlign w:val="bottom"/>
            <w:hideMark/>
          </w:tcPr>
          <w:p w:rsidR="004D4EB3" w:rsidRPr="000723F8" w:rsidRDefault="004D4EB3" w:rsidP="004D4EB3">
            <w:pPr>
              <w:rPr>
                <w:lang w:eastAsia="es-AR"/>
              </w:rPr>
            </w:pPr>
            <w:r>
              <w:rPr>
                <w:lang w:eastAsia="es-AR"/>
              </w:rPr>
              <w:t>Santa F</w:t>
            </w:r>
            <w:r w:rsidRPr="000723F8">
              <w:rPr>
                <w:lang w:eastAsia="es-AR"/>
              </w:rPr>
              <w:t>e</w:t>
            </w:r>
          </w:p>
        </w:tc>
        <w:tc>
          <w:tcPr>
            <w:tcW w:w="5215" w:type="dxa"/>
            <w:shd w:val="clear" w:color="auto" w:fill="auto"/>
            <w:vAlign w:val="bottom"/>
            <w:hideMark/>
          </w:tcPr>
          <w:p w:rsidR="004D4EB3" w:rsidRDefault="004D4EB3" w:rsidP="004D4EB3">
            <w:pPr>
              <w:pStyle w:val="Prrafodelista"/>
              <w:rPr>
                <w:sz w:val="24"/>
                <w:szCs w:val="24"/>
                <w:lang w:eastAsia="es-AR"/>
              </w:rPr>
            </w:pPr>
          </w:p>
          <w:p w:rsidR="004D4EB3" w:rsidRPr="004D4EB3" w:rsidRDefault="004D4EB3" w:rsidP="004D4EB3">
            <w:pPr>
              <w:rPr>
                <w:sz w:val="24"/>
                <w:szCs w:val="24"/>
                <w:lang w:eastAsia="es-AR"/>
              </w:rPr>
            </w:pPr>
            <w:r w:rsidRPr="004D4EB3">
              <w:rPr>
                <w:sz w:val="24"/>
                <w:szCs w:val="24"/>
                <w:lang w:eastAsia="es-AR"/>
              </w:rPr>
              <w:t>Rosario, La Capital, General López, Caseros, Constitución, San Lorenzo, Las Colonias y Castellanos</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576"/>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 xml:space="preserve">Santiago </w:t>
            </w:r>
            <w:r w:rsidRPr="000723F8">
              <w:rPr>
                <w:lang w:eastAsia="es-AR"/>
              </w:rPr>
              <w:t xml:space="preserve">del </w:t>
            </w:r>
            <w:r>
              <w:rPr>
                <w:lang w:eastAsia="es-AR"/>
              </w:rPr>
              <w:t>E</w:t>
            </w:r>
            <w:r w:rsidRPr="000723F8">
              <w:rPr>
                <w:lang w:eastAsia="es-AR"/>
              </w:rPr>
              <w:t>stero</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Capital y  la Banda</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576"/>
        </w:trPr>
        <w:tc>
          <w:tcPr>
            <w:tcW w:w="2065" w:type="dxa"/>
            <w:shd w:val="clear" w:color="auto" w:fill="auto"/>
            <w:vAlign w:val="bottom"/>
            <w:hideMark/>
          </w:tcPr>
          <w:p w:rsidR="004D4EB3" w:rsidRDefault="004D4EB3" w:rsidP="004D4EB3">
            <w:pPr>
              <w:rPr>
                <w:lang w:eastAsia="es-AR"/>
              </w:rPr>
            </w:pPr>
          </w:p>
          <w:p w:rsidR="004D4EB3" w:rsidRPr="000723F8" w:rsidRDefault="004D4EB3" w:rsidP="004D4EB3">
            <w:pPr>
              <w:rPr>
                <w:lang w:eastAsia="es-AR"/>
              </w:rPr>
            </w:pPr>
            <w:r>
              <w:rPr>
                <w:lang w:eastAsia="es-AR"/>
              </w:rPr>
              <w:t>Tierra del F</w:t>
            </w:r>
            <w:r w:rsidRPr="000723F8">
              <w:rPr>
                <w:lang w:eastAsia="es-AR"/>
              </w:rPr>
              <w:t>uego</w:t>
            </w:r>
            <w:r w:rsidR="00703F2C">
              <w:rPr>
                <w:lang w:eastAsia="es-AR"/>
              </w:rPr>
              <w:t>, Antártida e Islas del Atlántico Sur</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Río Grande</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sidRPr="000723F8">
              <w:rPr>
                <w:lang w:eastAsia="es-AR"/>
              </w:rPr>
              <w:t>Tucumán</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Capital</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312"/>
        </w:trPr>
        <w:tc>
          <w:tcPr>
            <w:tcW w:w="2065" w:type="dxa"/>
            <w:shd w:val="clear" w:color="auto" w:fill="auto"/>
            <w:vAlign w:val="bottom"/>
            <w:hideMark/>
          </w:tcPr>
          <w:p w:rsidR="004D4EB3" w:rsidRPr="000723F8" w:rsidRDefault="004D4EB3" w:rsidP="004D4EB3">
            <w:pPr>
              <w:rPr>
                <w:lang w:eastAsia="es-AR"/>
              </w:rPr>
            </w:pPr>
            <w:r>
              <w:rPr>
                <w:lang w:eastAsia="es-AR"/>
              </w:rPr>
              <w:t>Buenos Aires</w:t>
            </w:r>
          </w:p>
        </w:tc>
        <w:tc>
          <w:tcPr>
            <w:tcW w:w="5215" w:type="dxa"/>
            <w:shd w:val="clear" w:color="auto" w:fill="auto"/>
            <w:vAlign w:val="bottom"/>
            <w:hideMark/>
          </w:tcPr>
          <w:p w:rsidR="004D4EB3" w:rsidRPr="004D4EB3" w:rsidRDefault="004D4EB3" w:rsidP="004D4EB3">
            <w:pPr>
              <w:rPr>
                <w:sz w:val="24"/>
                <w:szCs w:val="24"/>
                <w:lang w:eastAsia="es-AR"/>
              </w:rPr>
            </w:pPr>
            <w:r w:rsidRPr="004D4EB3">
              <w:rPr>
                <w:sz w:val="24"/>
                <w:szCs w:val="24"/>
                <w:lang w:eastAsia="es-AR"/>
              </w:rPr>
              <w:t>General Pueyrredón, Bahía Blanca, Tandil, San Nicolás</w:t>
            </w:r>
            <w:r w:rsidR="00703F2C">
              <w:rPr>
                <w:sz w:val="24"/>
                <w:szCs w:val="24"/>
                <w:lang w:eastAsia="es-AR"/>
              </w:rPr>
              <w:t xml:space="preserve">, Capitán Sarmiento, General Belgrano, General Madariaga, Laprida, Pila, </w:t>
            </w:r>
            <w:proofErr w:type="spellStart"/>
            <w:r w:rsidR="00703F2C">
              <w:rPr>
                <w:sz w:val="24"/>
                <w:szCs w:val="24"/>
                <w:lang w:eastAsia="es-AR"/>
              </w:rPr>
              <w:t>Pinamar</w:t>
            </w:r>
            <w:proofErr w:type="spellEnd"/>
            <w:r w:rsidR="00703F2C">
              <w:rPr>
                <w:sz w:val="24"/>
                <w:szCs w:val="24"/>
                <w:lang w:eastAsia="es-AR"/>
              </w:rPr>
              <w:t>, Saladillo, San Cayetano, Tordillo.</w:t>
            </w:r>
            <w:r w:rsidRPr="004D4EB3">
              <w:rPr>
                <w:sz w:val="24"/>
                <w:szCs w:val="24"/>
                <w:lang w:eastAsia="es-AR"/>
              </w:rPr>
              <w:t xml:space="preserve"> </w:t>
            </w:r>
          </w:p>
        </w:tc>
        <w:tc>
          <w:tcPr>
            <w:tcW w:w="1700" w:type="dxa"/>
            <w:shd w:val="clear" w:color="auto" w:fill="auto"/>
            <w:vAlign w:val="bottom"/>
            <w:hideMark/>
          </w:tcPr>
          <w:p w:rsidR="004D4EB3" w:rsidRPr="000723F8" w:rsidRDefault="004D4EB3" w:rsidP="004D4EB3">
            <w:pPr>
              <w:pStyle w:val="Prrafodelista"/>
              <w:rPr>
                <w:lang w:eastAsia="es-AR"/>
              </w:rPr>
            </w:pPr>
            <w:r w:rsidRPr="000723F8">
              <w:rPr>
                <w:lang w:eastAsia="es-AR"/>
              </w:rPr>
              <w:t>parcial</w:t>
            </w:r>
          </w:p>
        </w:tc>
      </w:tr>
      <w:tr w:rsidR="004D4EB3" w:rsidRPr="000723F8" w:rsidTr="009F1AD6">
        <w:trPr>
          <w:trHeight w:val="2508"/>
        </w:trPr>
        <w:tc>
          <w:tcPr>
            <w:tcW w:w="2065" w:type="dxa"/>
            <w:shd w:val="clear" w:color="auto" w:fill="auto"/>
            <w:vAlign w:val="bottom"/>
            <w:hideMark/>
          </w:tcPr>
          <w:p w:rsidR="004D4EB3" w:rsidRPr="000723F8" w:rsidRDefault="004D4EB3" w:rsidP="004D4EB3">
            <w:pPr>
              <w:rPr>
                <w:lang w:eastAsia="es-AR"/>
              </w:rPr>
            </w:pPr>
            <w:r>
              <w:rPr>
                <w:lang w:eastAsia="es-AR"/>
              </w:rPr>
              <w:lastRenderedPageBreak/>
              <w:t>Área Metropolitana de Buenos Aires (AMBA)</w:t>
            </w:r>
          </w:p>
        </w:tc>
        <w:tc>
          <w:tcPr>
            <w:tcW w:w="5215" w:type="dxa"/>
            <w:shd w:val="clear" w:color="auto" w:fill="auto"/>
            <w:vAlign w:val="bottom"/>
            <w:hideMark/>
          </w:tcPr>
          <w:p w:rsidR="004D4EB3" w:rsidRPr="004D4EB3" w:rsidRDefault="004D4EB3" w:rsidP="004D4EB3">
            <w:pPr>
              <w:rPr>
                <w:sz w:val="24"/>
                <w:szCs w:val="24"/>
                <w:lang w:eastAsia="es-AR"/>
              </w:rPr>
            </w:pPr>
          </w:p>
          <w:p w:rsidR="004D4EB3" w:rsidRPr="004D4EB3" w:rsidRDefault="004D4EB3" w:rsidP="004D4EB3">
            <w:pPr>
              <w:rPr>
                <w:sz w:val="24"/>
                <w:szCs w:val="24"/>
                <w:lang w:eastAsia="es-AR"/>
              </w:rPr>
            </w:pPr>
            <w:r w:rsidRPr="004D4EB3">
              <w:rPr>
                <w:sz w:val="24"/>
                <w:szCs w:val="24"/>
                <w:lang w:eastAsia="es-AR"/>
              </w:rPr>
              <w:t xml:space="preserve">Completo (Almirante Brown, Avellaneda, Berazategui, Berisso, Ensenada, Escobar, Esteban Echeverría, </w:t>
            </w:r>
            <w:proofErr w:type="spellStart"/>
            <w:r w:rsidRPr="004D4EB3">
              <w:rPr>
                <w:sz w:val="24"/>
                <w:szCs w:val="24"/>
                <w:lang w:eastAsia="es-AR"/>
              </w:rPr>
              <w:t>Ezeiza</w:t>
            </w:r>
            <w:proofErr w:type="spellEnd"/>
            <w:r w:rsidRPr="004D4EB3">
              <w:rPr>
                <w:sz w:val="24"/>
                <w:szCs w:val="24"/>
                <w:lang w:eastAsia="es-AR"/>
              </w:rPr>
              <w:t xml:space="preserve">, Florencio Varela, General Las Heras, General Rodríguez, General San Martín, </w:t>
            </w:r>
            <w:proofErr w:type="spellStart"/>
            <w:r w:rsidRPr="004D4EB3">
              <w:rPr>
                <w:sz w:val="24"/>
                <w:szCs w:val="24"/>
                <w:lang w:eastAsia="es-AR"/>
              </w:rPr>
              <w:t>Hurlingham</w:t>
            </w:r>
            <w:proofErr w:type="spellEnd"/>
            <w:r w:rsidRPr="004D4EB3">
              <w:rPr>
                <w:sz w:val="24"/>
                <w:szCs w:val="24"/>
                <w:lang w:eastAsia="es-AR"/>
              </w:rPr>
              <w:t xml:space="preserve">, </w:t>
            </w:r>
            <w:proofErr w:type="spellStart"/>
            <w:r w:rsidRPr="004D4EB3">
              <w:rPr>
                <w:sz w:val="24"/>
                <w:szCs w:val="24"/>
                <w:lang w:eastAsia="es-AR"/>
              </w:rPr>
              <w:t>Ituzaingó</w:t>
            </w:r>
            <w:proofErr w:type="spellEnd"/>
            <w:r w:rsidRPr="004D4EB3">
              <w:rPr>
                <w:sz w:val="24"/>
                <w:szCs w:val="24"/>
                <w:lang w:eastAsia="es-AR"/>
              </w:rPr>
              <w:t>, José C. Paz, La Matanza, Lanús, La Plata, Lomas de Zamora, Luján, Marcos Paz, Malvinas Argentinas, Moreno, Merlo, Morón, Pilar, Presidente Perón, Quilmes, San Fernando, San Isidro, San Miguel, San Vicente, Tigre, Tres de Febrero y Vicente López.)</w:t>
            </w:r>
          </w:p>
        </w:tc>
        <w:tc>
          <w:tcPr>
            <w:tcW w:w="1700" w:type="dxa"/>
            <w:shd w:val="clear" w:color="auto" w:fill="auto"/>
            <w:vAlign w:val="bottom"/>
            <w:hideMark/>
          </w:tcPr>
          <w:p w:rsidR="004D4EB3" w:rsidRPr="000723F8" w:rsidRDefault="004D4EB3" w:rsidP="004D4EB3">
            <w:pPr>
              <w:pStyle w:val="Prrafodelista"/>
              <w:rPr>
                <w:lang w:eastAsia="es-AR"/>
              </w:rPr>
            </w:pPr>
          </w:p>
        </w:tc>
      </w:tr>
    </w:tbl>
    <w:p w:rsidR="007841AD" w:rsidRDefault="007841AD" w:rsidP="004D4EB3">
      <w:pPr>
        <w:pStyle w:val="Prrafodelista"/>
      </w:pPr>
    </w:p>
    <w:sectPr w:rsidR="007841A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16" w:rsidRDefault="003A3E16" w:rsidP="00903A74">
      <w:pPr>
        <w:spacing w:after="0" w:line="240" w:lineRule="auto"/>
      </w:pPr>
      <w:r>
        <w:separator/>
      </w:r>
    </w:p>
  </w:endnote>
  <w:endnote w:type="continuationSeparator" w:id="0">
    <w:p w:rsidR="003A3E16" w:rsidRDefault="003A3E16" w:rsidP="0090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113469"/>
      <w:docPartObj>
        <w:docPartGallery w:val="Page Numbers (Bottom of Page)"/>
        <w:docPartUnique/>
      </w:docPartObj>
    </w:sdtPr>
    <w:sdtEndPr/>
    <w:sdtContent>
      <w:p w:rsidR="00903A74" w:rsidRDefault="00903A74">
        <w:pPr>
          <w:pStyle w:val="Piedepgina"/>
          <w:jc w:val="right"/>
        </w:pPr>
        <w:r>
          <w:fldChar w:fldCharType="begin"/>
        </w:r>
        <w:r>
          <w:instrText>PAGE   \* MERGEFORMAT</w:instrText>
        </w:r>
        <w:r>
          <w:fldChar w:fldCharType="separate"/>
        </w:r>
        <w:r w:rsidR="00323570" w:rsidRPr="00323570">
          <w:rPr>
            <w:noProof/>
            <w:lang w:val="es-ES"/>
          </w:rPr>
          <w:t>4</w:t>
        </w:r>
        <w:r>
          <w:fldChar w:fldCharType="end"/>
        </w:r>
      </w:p>
    </w:sdtContent>
  </w:sdt>
  <w:p w:rsidR="00903A74" w:rsidRDefault="00903A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16" w:rsidRDefault="003A3E16" w:rsidP="00903A74">
      <w:pPr>
        <w:spacing w:after="0" w:line="240" w:lineRule="auto"/>
      </w:pPr>
      <w:r>
        <w:separator/>
      </w:r>
    </w:p>
  </w:footnote>
  <w:footnote w:type="continuationSeparator" w:id="0">
    <w:p w:rsidR="003A3E16" w:rsidRDefault="003A3E16" w:rsidP="00903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6FA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5A5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E27B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9626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D69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52EE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09A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D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BE4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223B2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B3"/>
    <w:rsid w:val="000D62F1"/>
    <w:rsid w:val="001C31A9"/>
    <w:rsid w:val="001F4BA6"/>
    <w:rsid w:val="00323570"/>
    <w:rsid w:val="003A3E16"/>
    <w:rsid w:val="004D4EB3"/>
    <w:rsid w:val="004E2753"/>
    <w:rsid w:val="00703F2C"/>
    <w:rsid w:val="007841AD"/>
    <w:rsid w:val="008271B3"/>
    <w:rsid w:val="0090156E"/>
    <w:rsid w:val="00903A74"/>
    <w:rsid w:val="009F1AD6"/>
    <w:rsid w:val="00A43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B4C94-BE16-4BED-8F44-4FF16A7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70"/>
    <w:pPr>
      <w:spacing w:after="160" w:line="259" w:lineRule="auto"/>
    </w:pPr>
    <w:rPr>
      <w:lang w:val="es-AR"/>
    </w:rPr>
  </w:style>
  <w:style w:type="paragraph" w:styleId="Ttulo1">
    <w:name w:val="heading 1"/>
    <w:basedOn w:val="Normal"/>
    <w:next w:val="Normal"/>
    <w:link w:val="Ttulo1Car"/>
    <w:uiPriority w:val="9"/>
    <w:qFormat/>
    <w:rsid w:val="00323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23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0D62F1"/>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D62F1"/>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D62F1"/>
    <w:rPr>
      <w:b/>
      <w:bCs/>
    </w:rPr>
  </w:style>
  <w:style w:type="paragraph" w:styleId="Prrafodelista">
    <w:name w:val="List Paragraph"/>
    <w:basedOn w:val="Normal"/>
    <w:uiPriority w:val="34"/>
    <w:qFormat/>
    <w:rsid w:val="000D62F1"/>
    <w:pPr>
      <w:spacing w:after="200" w:line="276" w:lineRule="auto"/>
      <w:ind w:left="720"/>
      <w:contextualSpacing/>
    </w:pPr>
    <w:rPr>
      <w:lang w:val="es-ES"/>
    </w:rPr>
  </w:style>
  <w:style w:type="paragraph" w:styleId="Encabezado">
    <w:name w:val="header"/>
    <w:basedOn w:val="Normal"/>
    <w:link w:val="EncabezadoCar"/>
    <w:uiPriority w:val="99"/>
    <w:unhideWhenUsed/>
    <w:rsid w:val="00903A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3A74"/>
    <w:rPr>
      <w:lang w:val="es-AR"/>
    </w:rPr>
  </w:style>
  <w:style w:type="paragraph" w:styleId="Piedepgina">
    <w:name w:val="footer"/>
    <w:basedOn w:val="Normal"/>
    <w:link w:val="PiedepginaCar"/>
    <w:uiPriority w:val="99"/>
    <w:unhideWhenUsed/>
    <w:rsid w:val="00903A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A74"/>
    <w:rPr>
      <w:lang w:val="es-AR"/>
    </w:rPr>
  </w:style>
  <w:style w:type="paragraph" w:styleId="Puesto">
    <w:name w:val="Title"/>
    <w:basedOn w:val="Normal"/>
    <w:next w:val="Normal"/>
    <w:link w:val="PuestoCar"/>
    <w:uiPriority w:val="10"/>
    <w:qFormat/>
    <w:rsid w:val="0090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903A74"/>
    <w:rPr>
      <w:rFonts w:asciiTheme="majorHAnsi" w:eastAsiaTheme="majorEastAsia" w:hAnsiTheme="majorHAnsi" w:cstheme="majorBidi"/>
      <w:color w:val="17365D" w:themeColor="text2" w:themeShade="BF"/>
      <w:spacing w:val="5"/>
      <w:kern w:val="28"/>
      <w:sz w:val="52"/>
      <w:szCs w:val="52"/>
      <w:lang w:val="es-AR"/>
    </w:rPr>
  </w:style>
  <w:style w:type="character" w:styleId="Hipervnculo">
    <w:name w:val="Hyperlink"/>
    <w:basedOn w:val="Fuentedeprrafopredeter"/>
    <w:uiPriority w:val="99"/>
    <w:unhideWhenUsed/>
    <w:rsid w:val="00323570"/>
    <w:rPr>
      <w:color w:val="0000FF"/>
      <w:u w:val="single"/>
    </w:rPr>
  </w:style>
  <w:style w:type="character" w:customStyle="1" w:styleId="Ttulo1Car">
    <w:name w:val="Título 1 Car"/>
    <w:basedOn w:val="Fuentedeprrafopredeter"/>
    <w:link w:val="Ttulo1"/>
    <w:uiPriority w:val="9"/>
    <w:rsid w:val="00323570"/>
    <w:rPr>
      <w:rFonts w:asciiTheme="majorHAnsi" w:eastAsiaTheme="majorEastAsia" w:hAnsiTheme="majorHAnsi" w:cstheme="majorBidi"/>
      <w:color w:val="365F91" w:themeColor="accent1" w:themeShade="BF"/>
      <w:sz w:val="32"/>
      <w:szCs w:val="32"/>
      <w:lang w:val="es-AR"/>
    </w:rPr>
  </w:style>
  <w:style w:type="character" w:customStyle="1" w:styleId="Ttulo2Car">
    <w:name w:val="Título 2 Car"/>
    <w:basedOn w:val="Fuentedeprrafopredeter"/>
    <w:link w:val="Ttulo2"/>
    <w:uiPriority w:val="9"/>
    <w:rsid w:val="00323570"/>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gentina.gob.ar/estructura-andis/Directorio-del-Sistema-de-Prestaciones-B%C3%A1si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Cejas</dc:creator>
  <cp:lastModifiedBy>Gabriela Andrade</cp:lastModifiedBy>
  <cp:revision>2</cp:revision>
  <dcterms:created xsi:type="dcterms:W3CDTF">2020-10-27T13:18:00Z</dcterms:created>
  <dcterms:modified xsi:type="dcterms:W3CDTF">2020-10-27T13:18:00Z</dcterms:modified>
</cp:coreProperties>
</file>