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FAC" w:rsidRDefault="00854787" w:rsidP="00854787">
      <w:pPr>
        <w:pStyle w:val="Ttulo"/>
        <w:rPr>
          <w:sz w:val="20"/>
        </w:rPr>
      </w:pPr>
      <w:r>
        <w:rPr>
          <w:noProof/>
          <w:sz w:val="20"/>
          <w:lang w:val="es-AR" w:eastAsia="es-A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-742950</wp:posOffset>
            </wp:positionH>
            <wp:positionV relativeFrom="paragraph">
              <wp:posOffset>19050</wp:posOffset>
            </wp:positionV>
            <wp:extent cx="7974965" cy="1638300"/>
            <wp:effectExtent l="19050" t="0" r="698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4965" cy="163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C3754">
        <w:rPr>
          <w:noProof/>
          <w:lang w:val="es-AR" w:eastAsia="es-AR"/>
        </w:rPr>
        <w:drawing>
          <wp:anchor distT="0" distB="0" distL="0" distR="0" simplePos="0" relativeHeight="487443456" behindDoc="1" locked="0" layoutInCell="1" allowOverlap="1">
            <wp:simplePos x="0" y="0"/>
            <wp:positionH relativeFrom="page">
              <wp:posOffset>1113529</wp:posOffset>
            </wp:positionH>
            <wp:positionV relativeFrom="page">
              <wp:posOffset>3191382</wp:posOffset>
            </wp:positionV>
            <wp:extent cx="5291830" cy="511492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91830" cy="5114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9382D" w:rsidRPr="002F7AC9" w:rsidRDefault="002F7AC9" w:rsidP="002F7AC9">
      <w:pPr>
        <w:widowControl/>
        <w:autoSpaceDE/>
        <w:autoSpaceDN/>
        <w:spacing w:before="223"/>
        <w:ind w:left="1276" w:right="1278"/>
        <w:rPr>
          <w:rFonts w:ascii="Verdana" w:eastAsia="Times New Roman" w:hAnsi="Verdana" w:cstheme="minorHAnsi"/>
          <w:b/>
          <w:bCs/>
          <w:sz w:val="24"/>
          <w:szCs w:val="24"/>
          <w:lang w:val="es-AR" w:eastAsia="es-AR"/>
        </w:rPr>
      </w:pPr>
      <w:r w:rsidRPr="002F7AC9"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 xml:space="preserve">Formulario </w:t>
      </w:r>
      <w:r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>- G</w:t>
      </w:r>
      <w:r w:rsidRPr="002F7AC9"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>uía de autoevaluación</w:t>
      </w:r>
      <w:r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 xml:space="preserve"> de</w:t>
      </w:r>
      <w:r w:rsidRPr="002F7AC9"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 xml:space="preserve"> exigencia </w:t>
      </w:r>
      <w:r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 xml:space="preserve">para </w:t>
      </w:r>
      <w:r w:rsidRPr="002F7AC9"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 xml:space="preserve">estudios </w:t>
      </w:r>
      <w:r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 xml:space="preserve">de </w:t>
      </w:r>
      <w:r w:rsidRPr="002F7AC9">
        <w:rPr>
          <w:rFonts w:ascii="Verdana" w:eastAsia="Times New Roman" w:hAnsi="Verdana" w:cstheme="minorHAnsi"/>
          <w:b/>
          <w:bCs/>
          <w:sz w:val="24"/>
          <w:szCs w:val="24"/>
          <w:lang w:eastAsia="es-AR"/>
        </w:rPr>
        <w:t>bioequivalencia</w:t>
      </w:r>
    </w:p>
    <w:p w:rsidR="000961C8" w:rsidRPr="00240EE9" w:rsidRDefault="000961C8" w:rsidP="000961C8">
      <w:pPr>
        <w:pStyle w:val="Ttulo"/>
        <w:tabs>
          <w:tab w:val="left" w:pos="2430"/>
        </w:tabs>
        <w:spacing w:before="10"/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leNormal"/>
        <w:tblW w:w="0" w:type="auto"/>
        <w:tblInd w:w="12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221"/>
        <w:gridCol w:w="708"/>
        <w:gridCol w:w="851"/>
      </w:tblGrid>
      <w:tr w:rsidR="00C06FAC" w:rsidTr="0019403A">
        <w:trPr>
          <w:trHeight w:val="455"/>
        </w:trPr>
        <w:tc>
          <w:tcPr>
            <w:tcW w:w="8221" w:type="dxa"/>
            <w:shd w:val="clear" w:color="auto" w:fill="D9D9D9"/>
          </w:tcPr>
          <w:p w:rsidR="000961C8" w:rsidRDefault="000961C8">
            <w:pPr>
              <w:pStyle w:val="TableParagraph"/>
              <w:spacing w:line="268" w:lineRule="exact"/>
              <w:ind w:left="107"/>
              <w:rPr>
                <w:b/>
              </w:rPr>
            </w:pPr>
          </w:p>
          <w:p w:rsidR="00C06FAC" w:rsidRDefault="002C3754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Alto Riesgo Sanitario</w:t>
            </w:r>
          </w:p>
        </w:tc>
        <w:tc>
          <w:tcPr>
            <w:tcW w:w="708" w:type="dxa"/>
            <w:shd w:val="clear" w:color="auto" w:fill="D9D9D9"/>
          </w:tcPr>
          <w:p w:rsidR="00C06FAC" w:rsidRDefault="002C3754">
            <w:pPr>
              <w:pStyle w:val="TableParagraph"/>
              <w:spacing w:line="268" w:lineRule="exact"/>
              <w:ind w:left="252"/>
              <w:rPr>
                <w:b/>
              </w:rPr>
            </w:pPr>
            <w:r>
              <w:rPr>
                <w:b/>
              </w:rPr>
              <w:t>Si</w:t>
            </w:r>
          </w:p>
        </w:tc>
        <w:tc>
          <w:tcPr>
            <w:tcW w:w="851" w:type="dxa"/>
            <w:shd w:val="clear" w:color="auto" w:fill="D9D9D9"/>
          </w:tcPr>
          <w:p w:rsidR="00C06FAC" w:rsidRDefault="002C3754">
            <w:pPr>
              <w:pStyle w:val="TableParagraph"/>
              <w:spacing w:line="268" w:lineRule="exact"/>
              <w:ind w:left="271" w:right="265"/>
              <w:jc w:val="center"/>
              <w:rPr>
                <w:b/>
              </w:rPr>
            </w:pPr>
            <w:r>
              <w:rPr>
                <w:b/>
              </w:rPr>
              <w:t xml:space="preserve">No </w:t>
            </w:r>
          </w:p>
        </w:tc>
      </w:tr>
      <w:tr w:rsidR="00C06FAC">
        <w:trPr>
          <w:trHeight w:val="561"/>
        </w:trPr>
        <w:tc>
          <w:tcPr>
            <w:tcW w:w="8221" w:type="dxa"/>
          </w:tcPr>
          <w:p w:rsidR="00C06FAC" w:rsidRDefault="002C3754">
            <w:pPr>
              <w:pStyle w:val="TableParagraph"/>
              <w:spacing w:before="32"/>
              <w:ind w:left="107"/>
              <w:rPr>
                <w:b/>
              </w:rPr>
            </w:pPr>
            <w:proofErr w:type="gramStart"/>
            <w:r>
              <w:rPr>
                <w:b/>
              </w:rPr>
              <w:t>¿ El</w:t>
            </w:r>
            <w:proofErr w:type="gramEnd"/>
            <w:r>
              <w:rPr>
                <w:b/>
              </w:rPr>
              <w:t xml:space="preserve"> Producto corresponde a un IFA de Riesgo Sanitario Alto?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337"/>
        </w:trPr>
        <w:tc>
          <w:tcPr>
            <w:tcW w:w="9780" w:type="dxa"/>
            <w:gridSpan w:val="3"/>
            <w:tcBorders>
              <w:bottom w:val="nil"/>
            </w:tcBorders>
            <w:shd w:val="clear" w:color="auto" w:fill="D9D9D9"/>
          </w:tcPr>
          <w:p w:rsidR="00C06FAC" w:rsidRDefault="002C3754">
            <w:pPr>
              <w:pStyle w:val="TableParagraph"/>
              <w:spacing w:before="32"/>
              <w:ind w:left="107"/>
              <w:rPr>
                <w:b/>
              </w:rPr>
            </w:pPr>
            <w:r>
              <w:rPr>
                <w:b/>
              </w:rPr>
              <w:t>El Producto que pretendo comercializar, tiene alguna de las siguientes características</w:t>
            </w:r>
          </w:p>
        </w:tc>
      </w:tr>
      <w:tr w:rsidR="00C06FAC">
        <w:trPr>
          <w:trHeight w:val="343"/>
        </w:trPr>
        <w:tc>
          <w:tcPr>
            <w:tcW w:w="8221" w:type="dxa"/>
            <w:tcBorders>
              <w:top w:val="nil"/>
            </w:tcBorders>
            <w:shd w:val="clear" w:color="auto" w:fill="D9D9D9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8" w:type="dxa"/>
            <w:shd w:val="clear" w:color="auto" w:fill="D9D9D9"/>
          </w:tcPr>
          <w:p w:rsidR="00C06FAC" w:rsidRDefault="002C3754">
            <w:pPr>
              <w:pStyle w:val="TableParagraph"/>
              <w:spacing w:before="38"/>
              <w:ind w:left="252"/>
              <w:rPr>
                <w:b/>
              </w:rPr>
            </w:pPr>
            <w:r>
              <w:rPr>
                <w:b/>
              </w:rPr>
              <w:t>Si</w:t>
            </w:r>
          </w:p>
        </w:tc>
        <w:tc>
          <w:tcPr>
            <w:tcW w:w="851" w:type="dxa"/>
            <w:shd w:val="clear" w:color="auto" w:fill="D9D9D9"/>
          </w:tcPr>
          <w:p w:rsidR="00C06FAC" w:rsidRDefault="002C3754">
            <w:pPr>
              <w:pStyle w:val="TableParagraph"/>
              <w:spacing w:before="38"/>
              <w:ind w:left="271" w:right="265"/>
              <w:jc w:val="center"/>
              <w:rPr>
                <w:b/>
              </w:rPr>
            </w:pPr>
            <w:r>
              <w:rPr>
                <w:b/>
              </w:rPr>
              <w:t xml:space="preserve">No </w:t>
            </w:r>
          </w:p>
        </w:tc>
      </w:tr>
      <w:tr w:rsidR="00C06FAC">
        <w:trPr>
          <w:trHeight w:val="287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I -Propiedades fisicoquímicas desfavorables: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 xml:space="preserve">I-1 -Escasa solubilidad en agua </w:t>
            </w:r>
            <w:r w:rsidR="00FC6E3A">
              <w:t>(menor</w:t>
            </w:r>
            <w:r>
              <w:t xml:space="preserve"> a </w:t>
            </w:r>
            <w:r w:rsidR="000961C8">
              <w:t>0,</w:t>
            </w:r>
            <w:r>
              <w:t xml:space="preserve"> 1 %)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8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t>I-2 -Variaciones cristalográficas metaestables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>I-3 -Baja humectabilidad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7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II-Características Farmacocinéticas: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573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t>II.1 -Farmacocinética No Lineal en todo el rango terapéutico ( de orden 0 ,</w:t>
            </w:r>
          </w:p>
          <w:p w:rsidR="00C06FAC" w:rsidRDefault="002C3754">
            <w:pPr>
              <w:pStyle w:val="TableParagraph"/>
              <w:spacing w:before="17"/>
              <w:ind w:left="107"/>
            </w:pPr>
            <w:r>
              <w:t>no proporcional o dosis dependiente).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rPr>
                <w:spacing w:val="13"/>
              </w:rPr>
              <w:t xml:space="preserve">II.2 </w:t>
            </w:r>
            <w:r>
              <w:rPr>
                <w:spacing w:val="15"/>
              </w:rPr>
              <w:t xml:space="preserve">-Escasa </w:t>
            </w:r>
            <w:r>
              <w:rPr>
                <w:spacing w:val="14"/>
              </w:rPr>
              <w:t xml:space="preserve">tasa </w:t>
            </w:r>
            <w:r>
              <w:rPr>
                <w:spacing w:val="9"/>
              </w:rPr>
              <w:t xml:space="preserve">de </w:t>
            </w:r>
            <w:r>
              <w:rPr>
                <w:spacing w:val="16"/>
              </w:rPr>
              <w:t xml:space="preserve">absorción </w:t>
            </w:r>
            <w:r w:rsidR="00FC6E3A">
              <w:t>(menor</w:t>
            </w:r>
            <w:r>
              <w:rPr>
                <w:spacing w:val="15"/>
              </w:rPr>
              <w:t xml:space="preserve"> </w:t>
            </w:r>
            <w:r>
              <w:rPr>
                <w:spacing w:val="12"/>
              </w:rPr>
              <w:t xml:space="preserve">del </w:t>
            </w:r>
            <w:r>
              <w:rPr>
                <w:spacing w:val="9"/>
              </w:rPr>
              <w:t xml:space="preserve">30 </w:t>
            </w:r>
            <w:r>
              <w:t xml:space="preserve">% </w:t>
            </w:r>
            <w:r>
              <w:rPr>
                <w:spacing w:val="19"/>
              </w:rPr>
              <w:t>).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7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t>II.3 -Estrecha ventana terapéutica: definiéndose la misma como: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537"/>
        </w:trPr>
        <w:tc>
          <w:tcPr>
            <w:tcW w:w="8221" w:type="dxa"/>
          </w:tcPr>
          <w:p w:rsidR="00C06FAC" w:rsidRDefault="00FC6E3A">
            <w:pPr>
              <w:pStyle w:val="TableParagraph"/>
              <w:spacing w:line="265" w:lineRule="exact"/>
              <w:ind w:left="107"/>
            </w:pPr>
            <w:r>
              <w:t>II.3. a</w:t>
            </w:r>
            <w:r w:rsidR="002C3754">
              <w:t xml:space="preserve">- El cociente entre la Dosis letal media </w:t>
            </w:r>
            <w:r>
              <w:t>(DL</w:t>
            </w:r>
            <w:r w:rsidR="002C3754">
              <w:t xml:space="preserve"> </w:t>
            </w:r>
            <w:r w:rsidR="00347E38">
              <w:t>50)</w:t>
            </w:r>
            <w:r w:rsidR="002C3754">
              <w:t xml:space="preserve"> y la Dosis eficaz media</w:t>
            </w:r>
          </w:p>
          <w:p w:rsidR="00C06FAC" w:rsidRDefault="00FC6E3A">
            <w:pPr>
              <w:pStyle w:val="TableParagraph"/>
              <w:spacing w:line="252" w:lineRule="exact"/>
              <w:ind w:left="107"/>
            </w:pPr>
            <w:r>
              <w:t>(DE 50)</w:t>
            </w:r>
            <w:r w:rsidR="002C3754">
              <w:t xml:space="preserve">, es menor de </w:t>
            </w:r>
            <w:r>
              <w:t>2.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537"/>
        </w:trPr>
        <w:tc>
          <w:tcPr>
            <w:tcW w:w="8221" w:type="dxa"/>
            <w:tcBorders>
              <w:bottom w:val="single" w:sz="8" w:space="0" w:color="000000"/>
            </w:tcBorders>
          </w:tcPr>
          <w:p w:rsidR="00C06FAC" w:rsidRDefault="00FC6E3A">
            <w:pPr>
              <w:pStyle w:val="TableParagraph"/>
              <w:spacing w:line="265" w:lineRule="exact"/>
              <w:ind w:left="107"/>
            </w:pPr>
            <w:r>
              <w:t>II.3. b</w:t>
            </w:r>
            <w:r w:rsidR="002C3754">
              <w:t>- El cociente entre la concentración tóxica mínima y la concentración</w:t>
            </w:r>
          </w:p>
          <w:p w:rsidR="00C06FAC" w:rsidRDefault="002C3754">
            <w:pPr>
              <w:pStyle w:val="TableParagraph"/>
              <w:spacing w:line="251" w:lineRule="exact"/>
              <w:ind w:left="107"/>
            </w:pPr>
            <w:r>
              <w:t xml:space="preserve">eficaz mínima es menor de </w:t>
            </w:r>
            <w:r w:rsidR="00FC6E3A">
              <w:t>2.</w:t>
            </w:r>
          </w:p>
        </w:tc>
        <w:tc>
          <w:tcPr>
            <w:tcW w:w="708" w:type="dxa"/>
            <w:tcBorders>
              <w:bottom w:val="single" w:sz="8" w:space="0" w:color="000000"/>
            </w:tcBorders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  <w:tcBorders>
              <w:bottom w:val="single" w:sz="8" w:space="0" w:color="000000"/>
            </w:tcBorders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 w:rsidTr="00FC6E3A">
        <w:trPr>
          <w:trHeight w:val="665"/>
        </w:trPr>
        <w:tc>
          <w:tcPr>
            <w:tcW w:w="8221" w:type="dxa"/>
            <w:tcBorders>
              <w:top w:val="single" w:sz="8" w:space="0" w:color="000000"/>
            </w:tcBorders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>II.4 -El uso eficaz y seguro de las especialidades medicinales que contienen</w:t>
            </w:r>
          </w:p>
          <w:p w:rsidR="00C06FAC" w:rsidRDefault="002C3754">
            <w:pPr>
              <w:pStyle w:val="TableParagraph"/>
              <w:spacing w:line="270" w:lineRule="atLeast"/>
              <w:ind w:left="107" w:right="83"/>
            </w:pPr>
            <w:r>
              <w:rPr>
                <w:spacing w:val="9"/>
              </w:rPr>
              <w:t xml:space="preserve">el </w:t>
            </w:r>
            <w:r>
              <w:rPr>
                <w:spacing w:val="8"/>
              </w:rPr>
              <w:t xml:space="preserve">IFA </w:t>
            </w:r>
            <w:r>
              <w:rPr>
                <w:spacing w:val="10"/>
              </w:rPr>
              <w:t xml:space="preserve">en </w:t>
            </w:r>
            <w:r>
              <w:rPr>
                <w:spacing w:val="16"/>
              </w:rPr>
              <w:t>cuestión</w:t>
            </w:r>
            <w:r>
              <w:rPr>
                <w:spacing w:val="81"/>
              </w:rPr>
              <w:t xml:space="preserve"> </w:t>
            </w:r>
            <w:r>
              <w:rPr>
                <w:spacing w:val="15"/>
              </w:rPr>
              <w:t xml:space="preserve">requiere </w:t>
            </w:r>
            <w:r w:rsidR="00FC6E3A">
              <w:rPr>
                <w:spacing w:val="16"/>
              </w:rPr>
              <w:t>cuidadosa dosificación</w:t>
            </w:r>
            <w:r>
              <w:rPr>
                <w:spacing w:val="17"/>
              </w:rPr>
              <w:t xml:space="preserve"> </w:t>
            </w:r>
            <w:r>
              <w:t xml:space="preserve">y </w:t>
            </w:r>
            <w:r w:rsidR="00FC6E3A">
              <w:rPr>
                <w:spacing w:val="16"/>
              </w:rPr>
              <w:t>monitoreo del</w:t>
            </w:r>
            <w:r>
              <w:rPr>
                <w:spacing w:val="12"/>
              </w:rPr>
              <w:t xml:space="preserve"> </w:t>
            </w:r>
            <w:r>
              <w:rPr>
                <w:spacing w:val="16"/>
              </w:rPr>
              <w:t>paciente.</w:t>
            </w:r>
          </w:p>
        </w:tc>
        <w:tc>
          <w:tcPr>
            <w:tcW w:w="708" w:type="dxa"/>
            <w:tcBorders>
              <w:top w:val="single" w:sz="8" w:space="0" w:color="000000"/>
            </w:tcBorders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  <w:tcBorders>
              <w:top w:val="single" w:sz="8" w:space="0" w:color="000000"/>
            </w:tcBorders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 xml:space="preserve">II.5 -Elevado metabolismo de primer pasaje hepático </w:t>
            </w:r>
            <w:r w:rsidR="00FC6E3A">
              <w:t>(mayor</w:t>
            </w:r>
            <w:r>
              <w:t xml:space="preserve"> del 70 %</w:t>
            </w:r>
            <w:proofErr w:type="gramStart"/>
            <w:r>
              <w:t>) .</w:t>
            </w:r>
            <w:proofErr w:type="gramEnd"/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573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t xml:space="preserve">II.6 -Serias consecuencias clínicas de la sobredosificación </w:t>
            </w:r>
            <w:r w:rsidR="00FC6E3A">
              <w:t>(toxicidad</w:t>
            </w:r>
            <w:r>
              <w:t>) o sub -</w:t>
            </w:r>
          </w:p>
          <w:p w:rsidR="00C06FAC" w:rsidRDefault="002C3754">
            <w:pPr>
              <w:pStyle w:val="TableParagraph"/>
              <w:spacing w:before="19" w:line="266" w:lineRule="exact"/>
              <w:ind w:left="107"/>
            </w:pPr>
            <w:r>
              <w:t xml:space="preserve">dosificación </w:t>
            </w:r>
            <w:r w:rsidR="00FC6E3A">
              <w:t>(falta</w:t>
            </w:r>
            <w:r>
              <w:t xml:space="preserve"> de efecto).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498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III-Características Farmacodinámicas: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573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rPr>
                <w:spacing w:val="12"/>
              </w:rPr>
              <w:t xml:space="preserve">III </w:t>
            </w:r>
            <w:r>
              <w:rPr>
                <w:spacing w:val="9"/>
              </w:rPr>
              <w:t xml:space="preserve">.1 </w:t>
            </w:r>
            <w:r>
              <w:rPr>
                <w:spacing w:val="15"/>
              </w:rPr>
              <w:t xml:space="preserve">-Curva </w:t>
            </w:r>
            <w:r>
              <w:rPr>
                <w:spacing w:val="16"/>
              </w:rPr>
              <w:t xml:space="preserve">Dosis- </w:t>
            </w:r>
            <w:r>
              <w:rPr>
                <w:spacing w:val="15"/>
              </w:rPr>
              <w:t xml:space="preserve">Respuesta </w:t>
            </w:r>
            <w:r>
              <w:t xml:space="preserve">" </w:t>
            </w:r>
            <w:r>
              <w:rPr>
                <w:spacing w:val="17"/>
              </w:rPr>
              <w:t xml:space="preserve">empinada" </w:t>
            </w:r>
            <w:r w:rsidR="00FC6E3A">
              <w:t>(es</w:t>
            </w:r>
            <w:r w:rsidR="00FC6E3A">
              <w:rPr>
                <w:spacing w:val="10"/>
              </w:rPr>
              <w:t xml:space="preserve"> decir</w:t>
            </w:r>
            <w:r>
              <w:rPr>
                <w:spacing w:val="12"/>
              </w:rPr>
              <w:t xml:space="preserve">, </w:t>
            </w:r>
            <w:r>
              <w:rPr>
                <w:spacing w:val="16"/>
              </w:rPr>
              <w:t xml:space="preserve">pequeños cambios </w:t>
            </w:r>
            <w:r>
              <w:rPr>
                <w:spacing w:val="9"/>
              </w:rPr>
              <w:t>en</w:t>
            </w:r>
            <w:r>
              <w:rPr>
                <w:spacing w:val="-11"/>
              </w:rPr>
              <w:t xml:space="preserve"> </w:t>
            </w:r>
            <w:r>
              <w:rPr>
                <w:spacing w:val="9"/>
              </w:rPr>
              <w:t>la</w:t>
            </w:r>
          </w:p>
          <w:p w:rsidR="00C06FAC" w:rsidRDefault="002C3754">
            <w:pPr>
              <w:pStyle w:val="TableParagraph"/>
              <w:spacing w:before="19" w:line="266" w:lineRule="exact"/>
              <w:ind w:left="107"/>
            </w:pPr>
            <w:proofErr w:type="gramStart"/>
            <w:r>
              <w:rPr>
                <w:spacing w:val="14"/>
              </w:rPr>
              <w:t>dosis</w:t>
            </w:r>
            <w:proofErr w:type="gramEnd"/>
            <w:r>
              <w:rPr>
                <w:spacing w:val="14"/>
              </w:rPr>
              <w:t xml:space="preserve"> </w:t>
            </w:r>
            <w:r>
              <w:rPr>
                <w:spacing w:val="16"/>
              </w:rPr>
              <w:t xml:space="preserve">determinan importantes variaciones </w:t>
            </w:r>
            <w:r w:rsidR="00FC6E3A">
              <w:rPr>
                <w:spacing w:val="10"/>
              </w:rPr>
              <w:t>en los</w:t>
            </w:r>
            <w:r>
              <w:rPr>
                <w:spacing w:val="12"/>
              </w:rPr>
              <w:t xml:space="preserve"> </w:t>
            </w:r>
            <w:r>
              <w:rPr>
                <w:spacing w:val="15"/>
              </w:rPr>
              <w:t xml:space="preserve">efectos </w:t>
            </w:r>
            <w:r w:rsidR="00FC6E3A">
              <w:t>o en</w:t>
            </w:r>
            <w:r>
              <w:rPr>
                <w:spacing w:val="10"/>
              </w:rPr>
              <w:t xml:space="preserve">  </w:t>
            </w:r>
            <w:r>
              <w:rPr>
                <w:spacing w:val="9"/>
              </w:rPr>
              <w:t>la</w:t>
            </w:r>
            <w:r>
              <w:rPr>
                <w:spacing w:val="23"/>
              </w:rPr>
              <w:t xml:space="preserve"> </w:t>
            </w:r>
            <w:r>
              <w:rPr>
                <w:spacing w:val="17"/>
              </w:rPr>
              <w:t>toxicidad).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 xml:space="preserve">III .2 -Estrecho margen de seguridad </w:t>
            </w:r>
            <w:r w:rsidR="00FC6E3A">
              <w:t>(cociente</w:t>
            </w:r>
            <w:r>
              <w:t xml:space="preserve"> DL 50 / DE</w:t>
            </w:r>
            <w:r w:rsidR="00FC6E3A">
              <w:t xml:space="preserve"> 50,</w:t>
            </w:r>
            <w:r>
              <w:t xml:space="preserve"> menor a </w:t>
            </w:r>
            <w:proofErr w:type="gramStart"/>
            <w:r>
              <w:t>2 )</w:t>
            </w:r>
            <w:proofErr w:type="gramEnd"/>
            <w:r>
              <w:t xml:space="preserve"> 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7"/>
        </w:trPr>
        <w:tc>
          <w:tcPr>
            <w:tcW w:w="8221" w:type="dxa"/>
          </w:tcPr>
          <w:p w:rsidR="00C06FAC" w:rsidRDefault="002C3754">
            <w:pPr>
              <w:pStyle w:val="TableParagraph"/>
              <w:spacing w:before="1" w:line="266" w:lineRule="exact"/>
              <w:ind w:left="107"/>
              <w:rPr>
                <w:b/>
              </w:rPr>
            </w:pPr>
            <w:r>
              <w:rPr>
                <w:b/>
              </w:rPr>
              <w:t>IV-Características Clínicas: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>Evidencia clínica de problemas relacionados con la biodisponibilidad.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06FAC">
        <w:trPr>
          <w:trHeight w:val="547"/>
        </w:trPr>
        <w:tc>
          <w:tcPr>
            <w:tcW w:w="8221" w:type="dxa"/>
          </w:tcPr>
          <w:p w:rsidR="00C06FAC" w:rsidRDefault="002C3754">
            <w:pPr>
              <w:pStyle w:val="TableParagraph"/>
              <w:spacing w:before="1"/>
              <w:ind w:left="107"/>
            </w:pPr>
            <w:r>
              <w:t>IV.1 -Biodisponibilidad crítica.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498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t>IV.2 - Vida media mayor de 12 horas.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573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8" w:lineRule="exact"/>
              <w:ind w:left="107"/>
            </w:pPr>
            <w:r>
              <w:t>IV.3 - IFAs para los cuales es importante un precoz tiempo de comienzo de</w:t>
            </w:r>
          </w:p>
          <w:p w:rsidR="00C06FAC" w:rsidRDefault="002C3754">
            <w:pPr>
              <w:pStyle w:val="TableParagraph"/>
              <w:spacing w:before="17"/>
              <w:ind w:left="107"/>
            </w:pPr>
            <w:r>
              <w:t>acción o una rápida velocidad de absorción.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</w:rPr>
            </w:pPr>
          </w:p>
        </w:tc>
      </w:tr>
      <w:tr w:rsidR="00C06FAC">
        <w:trPr>
          <w:trHeight w:val="285"/>
        </w:trPr>
        <w:tc>
          <w:tcPr>
            <w:tcW w:w="8221" w:type="dxa"/>
          </w:tcPr>
          <w:p w:rsidR="00C06FAC" w:rsidRDefault="002C3754">
            <w:pPr>
              <w:pStyle w:val="TableParagraph"/>
              <w:spacing w:line="265" w:lineRule="exact"/>
              <w:ind w:left="107"/>
            </w:pPr>
            <w:r>
              <w:t>IV.4 IF</w:t>
            </w:r>
            <w:r w:rsidR="00FC6E3A">
              <w:t>As</w:t>
            </w:r>
            <w:r>
              <w:t xml:space="preserve"> de uso crítico</w:t>
            </w:r>
          </w:p>
        </w:tc>
        <w:tc>
          <w:tcPr>
            <w:tcW w:w="708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</w:tcPr>
          <w:p w:rsidR="00C06FAC" w:rsidRDefault="00C06FA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C06FAC" w:rsidRDefault="00C06FAC">
      <w:pPr>
        <w:pStyle w:val="Ttulo"/>
        <w:spacing w:before="8"/>
        <w:rPr>
          <w:sz w:val="2"/>
        </w:rPr>
      </w:pPr>
    </w:p>
    <w:p w:rsidR="00C06FAC" w:rsidRDefault="00C06FAC">
      <w:pPr>
        <w:pStyle w:val="Ttulo"/>
        <w:ind w:left="743"/>
        <w:rPr>
          <w:sz w:val="20"/>
        </w:rPr>
      </w:pPr>
    </w:p>
    <w:sectPr w:rsidR="00C06FAC" w:rsidSect="00A55910">
      <w:type w:val="continuous"/>
      <w:pgSz w:w="11910" w:h="16840"/>
      <w:pgMar w:top="0" w:right="0" w:bottom="0" w:left="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C06FAC"/>
    <w:rsid w:val="000961C8"/>
    <w:rsid w:val="0019403A"/>
    <w:rsid w:val="00240EE9"/>
    <w:rsid w:val="0029382D"/>
    <w:rsid w:val="002C3754"/>
    <w:rsid w:val="002F7AC9"/>
    <w:rsid w:val="00347E38"/>
    <w:rsid w:val="00854787"/>
    <w:rsid w:val="009B2159"/>
    <w:rsid w:val="00A55910"/>
    <w:rsid w:val="00C06FAC"/>
    <w:rsid w:val="00C52D5A"/>
    <w:rsid w:val="00E86082"/>
    <w:rsid w:val="00FC6E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5910"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5591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rsid w:val="00A55910"/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1"/>
    <w:qFormat/>
    <w:rsid w:val="00A55910"/>
  </w:style>
  <w:style w:type="paragraph" w:customStyle="1" w:styleId="TableParagraph">
    <w:name w:val="Table Paragraph"/>
    <w:basedOn w:val="Normal"/>
    <w:uiPriority w:val="1"/>
    <w:qFormat/>
    <w:rsid w:val="00A55910"/>
  </w:style>
  <w:style w:type="paragraph" w:styleId="Textodeglobo">
    <w:name w:val="Balloon Text"/>
    <w:basedOn w:val="Normal"/>
    <w:link w:val="TextodegloboCar"/>
    <w:uiPriority w:val="99"/>
    <w:semiHidden/>
    <w:unhideWhenUsed/>
    <w:rsid w:val="002F7AC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F7AC9"/>
    <w:rPr>
      <w:rFonts w:ascii="Tahoma" w:eastAsia="Calibri" w:hAnsi="Tahoma" w:cs="Tahoma"/>
      <w:sz w:val="16"/>
      <w:szCs w:val="16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60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REQUISITOS DE INCLUSION DE IFAs   AL LISTADO DE EXIGENCIA DE ESTUDIOS DE BIODISPONIBILIDAD/BIOEQUIVALENCIA</vt:lpstr>
    </vt:vector>
  </TitlesOfParts>
  <Company>Hewlett-Packard Company</Company>
  <LinksUpToDate>false</LinksUpToDate>
  <CharactersWithSpaces>1901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REQUISITOS DE INCLUSION DE IFAs   AL LISTADO DE EXIGENCIA DE ESTUDIOS DE BIODISPONIBILIDAD/BIOEQUIVALENCIA</dc:title>
  <dc:subject>Comisión de Bioequivalencia (2-9-2020)</dc:subject>
  <dc:creator>Federico Tomás Torrado</dc:creator>
  <cp:lastModifiedBy>Soledad Ramírez</cp:lastModifiedBy>
  <cp:revision>2</cp:revision>
  <dcterms:created xsi:type="dcterms:W3CDTF">2021-02-17T16:29:00Z</dcterms:created>
  <dcterms:modified xsi:type="dcterms:W3CDTF">2021-02-17T16:29:00Z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2021-02-05T00:00:00Z</vt:filetime>
  </property>
</Properties>
</file>