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2A" w:rsidRPr="00A00DAC" w:rsidRDefault="0071512A" w:rsidP="0071512A">
      <w:pPr>
        <w:pStyle w:val="NormalWeb"/>
        <w:rPr>
          <w:b/>
          <w:bCs/>
          <w:highlight w:val="yellow"/>
        </w:rPr>
      </w:pPr>
      <w:r w:rsidRPr="00A00DAC">
        <w:rPr>
          <w:b/>
          <w:bCs/>
          <w:highlight w:val="yellow"/>
        </w:rPr>
        <w:t>PARTIDOS POLITICOS</w:t>
      </w:r>
    </w:p>
    <w:p w:rsidR="0071512A" w:rsidRPr="00A00DAC" w:rsidRDefault="0071512A" w:rsidP="0071512A">
      <w:pPr>
        <w:pStyle w:val="NormalWeb"/>
        <w:rPr>
          <w:b/>
          <w:bCs/>
          <w:highlight w:val="yellow"/>
        </w:rPr>
      </w:pPr>
      <w:r w:rsidRPr="00A00DAC">
        <w:rPr>
          <w:b/>
          <w:bCs/>
          <w:highlight w:val="yellow"/>
        </w:rPr>
        <w:t>Decreto 443/2011</w:t>
      </w:r>
    </w:p>
    <w:p w:rsidR="0071512A" w:rsidRDefault="0071512A" w:rsidP="0071512A">
      <w:pPr>
        <w:pStyle w:val="NormalWeb"/>
        <w:rPr>
          <w:b/>
          <w:bCs/>
        </w:rPr>
      </w:pPr>
      <w:r w:rsidRPr="00A00DAC">
        <w:rPr>
          <w:b/>
          <w:bCs/>
          <w:highlight w:val="yellow"/>
        </w:rPr>
        <w:t>Régimen de elecciones primarias abiertas, simultáneas y obligatorias. Norma Complementaria.</w:t>
      </w:r>
    </w:p>
    <w:p w:rsidR="0071512A" w:rsidRDefault="0071512A" w:rsidP="0071512A">
      <w:pPr>
        <w:pStyle w:val="NormalWeb"/>
      </w:pPr>
      <w:r>
        <w:t>Bs. As., 14/4/2011</w:t>
      </w:r>
    </w:p>
    <w:p w:rsidR="0071512A" w:rsidRDefault="0071512A" w:rsidP="0071512A">
      <w:pPr>
        <w:pStyle w:val="NormalWeb"/>
      </w:pPr>
      <w:r>
        <w:t>VISTO el Expediente Nº S02:0000564/2011 del registro del MINISTERIO DEL INTERIOR, las Leyes Nº 19.945 (T.O. Decreto Nº 2135/83) y sus modificatorias, Nº 23.298 y Nº 26.571, y</w:t>
      </w:r>
    </w:p>
    <w:p w:rsidR="0071512A" w:rsidRDefault="0071512A" w:rsidP="0071512A">
      <w:pPr>
        <w:pStyle w:val="NormalWeb"/>
      </w:pPr>
      <w:r>
        <w:t>CONSIDERANDO:</w:t>
      </w:r>
    </w:p>
    <w:p w:rsidR="0071512A" w:rsidRDefault="0071512A" w:rsidP="0071512A">
      <w:pPr>
        <w:pStyle w:val="NormalWeb"/>
      </w:pPr>
      <w:r>
        <w:t>Que la Ley Nº 26.571 de Democratización de la Representación Política, la Transparencia y la Equidad Electoral establece el régimen de primarias abiertas, simultáneas y obligatorias, para la selección de candidatos de las agrupaciones políticas a cargos públicos electivos nacionales.</w:t>
      </w:r>
    </w:p>
    <w:p w:rsidR="0071512A" w:rsidRDefault="0071512A" w:rsidP="0071512A">
      <w:pPr>
        <w:pStyle w:val="NormalWeb"/>
      </w:pPr>
      <w:r>
        <w:t>Que es necesario precisar cuestiones vinculadas al proceso electoral en curso.</w:t>
      </w:r>
    </w:p>
    <w:p w:rsidR="0071512A" w:rsidRDefault="0071512A" w:rsidP="0071512A">
      <w:pPr>
        <w:pStyle w:val="NormalWeb"/>
      </w:pPr>
      <w:r>
        <w:t>Que debe establecerse el procedimiento de conformación de las juntas electorales de las agrupaciones políticas para las elecciones primarias, abiertas, simultáneas y obligatorias.</w:t>
      </w:r>
    </w:p>
    <w:p w:rsidR="0071512A" w:rsidRDefault="0071512A" w:rsidP="0071512A">
      <w:pPr>
        <w:pStyle w:val="NormalWeb"/>
      </w:pPr>
      <w:r>
        <w:t>Que resulta conveniente aclarar el modo en que se efectuará el aval a las listas de precandidatos en la etapa de oficialización de listas para las elecciones primarias, abiertas, simultáneas y obligatorias como también los datos a contener por el instrumento que incorpore las mismas.</w:t>
      </w:r>
    </w:p>
    <w:p w:rsidR="0071512A" w:rsidRDefault="0071512A" w:rsidP="0071512A">
      <w:pPr>
        <w:pStyle w:val="NormalWeb"/>
      </w:pPr>
      <w:r>
        <w:t>Que debe establecerse el procedimiento mediante el cual se oficializarán las listas de precandidatos para las elecciones primarias, abiertas, simultáneas y obligatorias. Que corresponde indicar criterios prácticos relacionados con la asignación de colores de la boleta.</w:t>
      </w:r>
    </w:p>
    <w:p w:rsidR="0071512A" w:rsidRDefault="0071512A" w:rsidP="0071512A">
      <w:pPr>
        <w:pStyle w:val="NormalWeb"/>
      </w:pPr>
      <w:r>
        <w:t>Que corresponde establecer los aportes financieros estatales entre las listas de precandidatos en ocasión de las elecciones primarias, abiertas, simultáneas y obligatorias.</w:t>
      </w:r>
    </w:p>
    <w:p w:rsidR="0071512A" w:rsidRDefault="0071512A" w:rsidP="0071512A">
      <w:pPr>
        <w:pStyle w:val="NormalWeb"/>
      </w:pPr>
      <w:r>
        <w:t>Que asimismo deben establecerse criterios comunes en lo referido a los modelos de acta de escrutinio, y la devolución de la documentación electoral con posterioridad a tal proceso en las elecciones primarias, abiertas, simultáneas y obligatorias.</w:t>
      </w:r>
    </w:p>
    <w:p w:rsidR="0071512A" w:rsidRDefault="0071512A" w:rsidP="0071512A">
      <w:pPr>
        <w:pStyle w:val="NormalWeb"/>
      </w:pPr>
      <w:r>
        <w:t xml:space="preserve">Que el presente acto se dicta en uso de las facultades conferidas por el artículo 99, inciso 2 de la CONSTITUCION NACIONAL. </w:t>
      </w:r>
    </w:p>
    <w:p w:rsidR="0071512A" w:rsidRDefault="0071512A" w:rsidP="0071512A">
      <w:pPr>
        <w:pStyle w:val="NormalWeb"/>
      </w:pPr>
      <w:r>
        <w:t>Por ello,</w:t>
      </w:r>
    </w:p>
    <w:p w:rsidR="0071512A" w:rsidRDefault="0071512A" w:rsidP="0071512A">
      <w:pPr>
        <w:pStyle w:val="NormalWeb"/>
      </w:pPr>
      <w:r>
        <w:t>LA PRESIDENTA DE LA NACION ARGENTINA</w:t>
      </w:r>
    </w:p>
    <w:p w:rsidR="0071512A" w:rsidRDefault="0071512A" w:rsidP="0071512A">
      <w:pPr>
        <w:pStyle w:val="NormalWeb"/>
      </w:pPr>
      <w:r>
        <w:lastRenderedPageBreak/>
        <w:t>DECRETA:</w:t>
      </w:r>
    </w:p>
    <w:p w:rsidR="0071512A" w:rsidRDefault="0071512A" w:rsidP="0071512A">
      <w:pPr>
        <w:pStyle w:val="NormalWeb"/>
      </w:pPr>
      <w:r>
        <w:rPr>
          <w:b/>
          <w:bCs/>
        </w:rPr>
        <w:t>Artículo 1º</w:t>
      </w:r>
      <w:r>
        <w:t xml:space="preserve"> — La Junta Electoral partidaria o de alianza, convocadas las elecciones primarias, abiertas, simultáneas y obligatorias, procederá a efectuar el análisis de la documentación presentada por las listas de precandidatos, verificar los avales correspondientes y oficializar las listas. Una vez oficializadas, la Junta Electoral se ampliará a razón de un representante por cada una de dichas listas. Las listas de precandidatos deberán designar un responsable técnico de campaña electoral y un representante tecnológico para actuar ante la DIRECCIÓN NACIONAL ELECTORAL del MINISTERIO DEL INTERIOR Y TRANSPORTE.</w:t>
      </w:r>
      <w:r>
        <w:br/>
      </w:r>
      <w:r>
        <w:br/>
      </w:r>
      <w:r>
        <w:rPr>
          <w:i/>
          <w:iCs/>
        </w:rPr>
        <w:t xml:space="preserve">(Artículo sustituido por art. 6° del </w:t>
      </w:r>
      <w:hyperlink r:id="rId5" w:history="1">
        <w:r>
          <w:rPr>
            <w:rStyle w:val="Hipervnculo"/>
            <w:i/>
            <w:iCs/>
          </w:rPr>
          <w:t>Decreto N° 776/2015</w:t>
        </w:r>
      </w:hyperlink>
      <w:r>
        <w:rPr>
          <w:i/>
          <w:iCs/>
        </w:rPr>
        <w:t xml:space="preserve"> B.O. 11/5/2015)</w:t>
      </w:r>
    </w:p>
    <w:p w:rsidR="0071512A" w:rsidRDefault="0071512A" w:rsidP="0071512A">
      <w:pPr>
        <w:pStyle w:val="NormalWeb"/>
      </w:pPr>
      <w:r>
        <w:rPr>
          <w:b/>
          <w:bCs/>
        </w:rPr>
        <w:t>Art. 2º</w:t>
      </w:r>
      <w:r>
        <w:t xml:space="preserve"> — Desde la publicación de la convocatoria y hasta CINCUENTA Y CINCO (55) días antes de la elección primaria cada agrupación política debe acompañar al Juzgado Federal con Competencia Electoral del respectivo distrito, su reglamento electoral e informar la integración de su Junta Electoral, el domicilio, días y horarios en que funcionará, domicilio electrónico de la Junta y el sitio web en que se encuentran publicados tales datos.</w:t>
      </w:r>
      <w:r>
        <w:br/>
      </w:r>
      <w:r>
        <w:br/>
        <w:t>En el mismo sitio web deben publicarse las oficializaciones de las listas, las observaciones que se les efectúen y toda otra resolución que haga al proceso electoral, sin perjuicio de la publicación de las mismas en las dependencias de las juntas electorales partidarias.</w:t>
      </w:r>
      <w:r>
        <w:br/>
      </w:r>
      <w:r>
        <w:br/>
      </w:r>
      <w:r>
        <w:rPr>
          <w:i/>
          <w:iCs/>
        </w:rPr>
        <w:t xml:space="preserve">(Artículo sustituido por art. 6° del </w:t>
      </w:r>
      <w:hyperlink r:id="rId6" w:history="1">
        <w:r>
          <w:rPr>
            <w:rStyle w:val="Hipervnculo"/>
            <w:i/>
            <w:iCs/>
          </w:rPr>
          <w:t>Decreto N° 776/2015</w:t>
        </w:r>
      </w:hyperlink>
      <w:r>
        <w:rPr>
          <w:i/>
          <w:iCs/>
        </w:rPr>
        <w:t xml:space="preserve"> B.O. 11/5/2015)</w:t>
      </w:r>
    </w:p>
    <w:p w:rsidR="0071512A" w:rsidRDefault="0071512A" w:rsidP="0071512A">
      <w:pPr>
        <w:pStyle w:val="NormalWeb"/>
      </w:pPr>
      <w:r>
        <w:rPr>
          <w:b/>
          <w:bCs/>
        </w:rPr>
        <w:t>Art. 3º</w:t>
      </w:r>
      <w:r>
        <w:t xml:space="preserve"> — A los fines del cómputo y control de los avales según lo establecido en el artículo 21 de la Ley Nº 26.571, las juntas electorales de las agrupaciones políticas deben utilizar los padrones de afiliados que les provea el juzgado federal con competencia electoral del respectivo distrito incluidas las novedades registradas hasta CIENTO OCHENTA (180) días antes de la elección general.</w:t>
      </w:r>
    </w:p>
    <w:p w:rsidR="0071512A" w:rsidRDefault="0071512A" w:rsidP="0071512A">
      <w:pPr>
        <w:pStyle w:val="NormalWeb"/>
      </w:pPr>
      <w:r>
        <w:rPr>
          <w:b/>
          <w:bCs/>
        </w:rPr>
        <w:t>Art. 4º</w:t>
      </w:r>
      <w:r>
        <w:t xml:space="preserve"> — La Justicia Nacional Electoral debe publicar en su página web, la cantidad de avales necesarios para cada distrito, partido político y cada categoría de cargos, de acuerdo a lo establecido en el artículo 21 de la Ley Nº 26.571, calculados sobre los electores registrados al 31 de diciembre del año anterior.</w:t>
      </w:r>
    </w:p>
    <w:p w:rsidR="0071512A" w:rsidRDefault="0071512A" w:rsidP="0071512A">
      <w:pPr>
        <w:pStyle w:val="NormalWeb"/>
      </w:pPr>
      <w:r>
        <w:rPr>
          <w:b/>
          <w:bCs/>
        </w:rPr>
        <w:t>Art. 5º</w:t>
      </w:r>
      <w:r>
        <w:t xml:space="preserve"> — Los avales para las precandidaturas a cargos nacionales deben ser presentados en los modelos de planillas y aplicativos informáticos específicos que establezca la Cámara Nacional Electoral.</w:t>
      </w:r>
    </w:p>
    <w:p w:rsidR="0071512A" w:rsidRDefault="0071512A" w:rsidP="0071512A">
      <w:pPr>
        <w:pStyle w:val="NormalWeb"/>
      </w:pPr>
      <w:r>
        <w:rPr>
          <w:b/>
          <w:bCs/>
        </w:rPr>
        <w:t>Art. 6º</w:t>
      </w:r>
      <w:r>
        <w:t xml:space="preserve"> — Los precandidatos deben presentar junto con las constancias de aceptación de la postulación, la declaración jurada de reunir los requisitos constitucionales y legales pertinentes y de respeto por la plataforma electoral de la lista, de acuerdo al modelo que establezca la Cámara Nacional Electoral.</w:t>
      </w:r>
    </w:p>
    <w:p w:rsidR="0071512A" w:rsidRDefault="0071512A" w:rsidP="0071512A">
      <w:pPr>
        <w:pStyle w:val="NormalWeb"/>
      </w:pPr>
      <w:r>
        <w:rPr>
          <w:b/>
          <w:bCs/>
        </w:rPr>
        <w:t>Art. 7º</w:t>
      </w:r>
      <w:r>
        <w:t xml:space="preserve"> — La Junta Electoral de cada agrupación política solicitará al Registro Nacional de Reincidencia dependiente del MINISTERIO DE JUSTICIA Y DERECHOS HUMANOS, los informes nominales de antecedentes penales correspondientes de los precandidatos, los que tendrán carácter gratuito y con el trámite de preferente y pronto despacho.</w:t>
      </w:r>
      <w:r>
        <w:br/>
      </w:r>
      <w:r>
        <w:br/>
      </w:r>
      <w:r>
        <w:rPr>
          <w:i/>
          <w:iCs/>
        </w:rPr>
        <w:t xml:space="preserve">(Artículo sustituido por art. 6° del </w:t>
      </w:r>
      <w:hyperlink r:id="rId7" w:history="1">
        <w:r>
          <w:rPr>
            <w:rStyle w:val="Hipervnculo"/>
            <w:i/>
            <w:iCs/>
          </w:rPr>
          <w:t>Decreto N° 776/2015</w:t>
        </w:r>
      </w:hyperlink>
      <w:r>
        <w:rPr>
          <w:i/>
          <w:iCs/>
        </w:rPr>
        <w:t xml:space="preserve"> B.O. 11/5/2015)</w:t>
      </w:r>
    </w:p>
    <w:p w:rsidR="0071512A" w:rsidRDefault="0071512A" w:rsidP="0071512A">
      <w:pPr>
        <w:pStyle w:val="NormalWeb"/>
      </w:pPr>
      <w:r>
        <w:rPr>
          <w:b/>
          <w:bCs/>
        </w:rPr>
        <w:t>Art. 8º</w:t>
      </w:r>
      <w:r>
        <w:t xml:space="preserve"> — A los efectos de dar cumplimiento a lo establecido en el artículo 33 de la Ley Nº 23.298, la SECRETARIA DE DERECHOS HUMANOS del MINISTERIO DE JUSTICIA Y DERECHOS HUMANOS debe informar a la Justicia Nacional Electoral la nómina de las personas incluidas en los incisos f) y g) del citado artículo.</w:t>
      </w:r>
    </w:p>
    <w:p w:rsidR="0071512A" w:rsidRDefault="0071512A" w:rsidP="0071512A">
      <w:pPr>
        <w:pStyle w:val="NormalWeb"/>
      </w:pPr>
      <w:r>
        <w:rPr>
          <w:b/>
          <w:bCs/>
        </w:rPr>
        <w:t>Art. 9º</w:t>
      </w:r>
      <w:r>
        <w:t xml:space="preserve"> — A los efectos previstos en el artículo 27 de la Ley Nº 26.571 los juzgados federales con competencia electoral de cada distrito deben proveer, a las juntas electorales de las agrupaciones políticas, un listado actualizado de los electores del distrito que incluya los datos que posibiliten verificar el cumplimiento de los extremos legales.</w:t>
      </w:r>
    </w:p>
    <w:p w:rsidR="0071512A" w:rsidRDefault="0071512A" w:rsidP="0071512A">
      <w:pPr>
        <w:pStyle w:val="NormalWeb"/>
      </w:pPr>
      <w:r>
        <w:rPr>
          <w:b/>
          <w:bCs/>
        </w:rPr>
        <w:t>Art. 10.</w:t>
      </w:r>
      <w:r>
        <w:t xml:space="preserve"> — La Junta Electoral de la agrupación política podrá intimar la sustitución o corrimiento, según corresponda, de un candidato que incumpla los requisitos o del que no se presente la documentación indicada o la integración de avales faltantes en caso de nulidad de alguno de los presentados.</w:t>
      </w:r>
    </w:p>
    <w:p w:rsidR="0071512A" w:rsidRDefault="0071512A" w:rsidP="0071512A">
      <w:pPr>
        <w:pStyle w:val="NormalWeb"/>
      </w:pPr>
      <w:r>
        <w:rPr>
          <w:b/>
          <w:bCs/>
        </w:rPr>
        <w:t>Art. 11.</w:t>
      </w:r>
      <w:r>
        <w:t xml:space="preserve"> — En el caso que las agrupaciones políticas opten por notificar sus resoluciones en su sitio web oficial, de acuerdo a lo previsto en el artículo 27 de la Ley Nº 26.571, deben hacer saber tal circunstancia de modo fehaciente a cada lista interna, al momento que se presenten para la oficialización</w:t>
      </w:r>
    </w:p>
    <w:p w:rsidR="0071512A" w:rsidRDefault="0071512A" w:rsidP="0071512A">
      <w:pPr>
        <w:pStyle w:val="NormalWeb"/>
      </w:pPr>
      <w:r>
        <w:rPr>
          <w:b/>
          <w:bCs/>
        </w:rPr>
        <w:t>Art. 12.</w:t>
      </w:r>
      <w:r>
        <w:t xml:space="preserve"> — A efectos del cómputo de los plazos para recurrir las resoluciones de las Juntas Electorales, las agrupaciones políticas deben hacer constar en la publicación de las oficializaciones y observaciones a las listas, la fecha y horario en que se efectúa.</w:t>
      </w:r>
    </w:p>
    <w:p w:rsidR="0071512A" w:rsidRDefault="0071512A" w:rsidP="0071512A">
      <w:pPr>
        <w:pStyle w:val="NormalWeb"/>
      </w:pPr>
      <w:r>
        <w:rPr>
          <w:b/>
          <w:bCs/>
        </w:rPr>
        <w:t>Art. 13.</w:t>
      </w:r>
      <w:r>
        <w:t xml:space="preserve"> — En la primera oportunidad en que una lista interna deba realizar una presentación ante el Juzgado Federal con Competencia Electoral, debe constituir domicilio en la ciudad asiento del respectivo Juzgado Electoral y domicilio electrónico, bajo apercibimiento de tenerlo por constituido en los estrados del juzgado.</w:t>
      </w:r>
      <w:r>
        <w:br/>
      </w:r>
      <w:r>
        <w:br/>
      </w:r>
      <w:r>
        <w:rPr>
          <w:i/>
          <w:iCs/>
        </w:rPr>
        <w:t xml:space="preserve">(Artículo sustituido por art. 6° del </w:t>
      </w:r>
      <w:hyperlink r:id="rId8" w:history="1">
        <w:r>
          <w:rPr>
            <w:rStyle w:val="Hipervnculo"/>
            <w:i/>
            <w:iCs/>
          </w:rPr>
          <w:t>Decreto N° 776/2015</w:t>
        </w:r>
      </w:hyperlink>
      <w:r>
        <w:rPr>
          <w:i/>
          <w:iCs/>
        </w:rPr>
        <w:t xml:space="preserve"> B.O. 11/5/2015)</w:t>
      </w:r>
    </w:p>
    <w:p w:rsidR="0071512A" w:rsidRDefault="0071512A" w:rsidP="0071512A">
      <w:pPr>
        <w:pStyle w:val="NormalWeb"/>
      </w:pPr>
      <w:r>
        <w:rPr>
          <w:b/>
          <w:bCs/>
        </w:rPr>
        <w:t>Art. 14.</w:t>
      </w:r>
      <w:r>
        <w:t xml:space="preserve"> — Las listas de precandidatos deben ser presentadas en las planillas y el soporte informático que establezca la Cámara Nacional Electoral.</w:t>
      </w:r>
    </w:p>
    <w:p w:rsidR="0071512A" w:rsidRDefault="0071512A" w:rsidP="0071512A">
      <w:pPr>
        <w:pStyle w:val="NormalWeb"/>
      </w:pPr>
      <w:r>
        <w:rPr>
          <w:b/>
          <w:bCs/>
        </w:rPr>
        <w:t>Art. 15.</w:t>
      </w:r>
      <w:r>
        <w:t xml:space="preserve"> — En el acta de conformación de las alianzas pueden establecerse acuerdos de adhesiones de boletas de diferentes categorías para las elecciones generales, con otras agrupaciones políticas no integrantes de la alianza, siempre que las listas a adherir resulten ganadoras en sus respectivas elecciones primarias.</w:t>
      </w:r>
    </w:p>
    <w:p w:rsidR="0071512A" w:rsidRDefault="0071512A" w:rsidP="0071512A">
      <w:pPr>
        <w:pStyle w:val="NormalWeb"/>
      </w:pPr>
      <w:r>
        <w:rPr>
          <w:b/>
          <w:bCs/>
        </w:rPr>
        <w:t>Art. 16.</w:t>
      </w:r>
      <w:r>
        <w:t xml:space="preserve"> — La solicitud de asignación de color de la boleta o su combinación podrá ser realizada por las agrupaciones políticas desde la fecha de convocatoria de las elecciones y hasta CINCUENTA Y CINCO (55) días antes de las elecciones primarias.</w:t>
      </w:r>
    </w:p>
    <w:p w:rsidR="0071512A" w:rsidRDefault="0071512A" w:rsidP="0071512A">
      <w:pPr>
        <w:pStyle w:val="NormalWeb"/>
      </w:pPr>
      <w:r>
        <w:t>En caso que las alianzas se encuentren integradas por partidos que ya han realizado la reserva de color podrán indicar al momento de su inscripción y hasta el plazo máximo fijado en el artículo 25 de la Ley Nº 26.571, si utilizará el color reservado por un partido integrante u otro color que elija.</w:t>
      </w:r>
    </w:p>
    <w:p w:rsidR="0071512A" w:rsidRDefault="0071512A" w:rsidP="0071512A">
      <w:pPr>
        <w:pStyle w:val="NormalWeb"/>
      </w:pPr>
      <w:r>
        <w:rPr>
          <w:b/>
          <w:bCs/>
        </w:rPr>
        <w:t>Art. 17.</w:t>
      </w:r>
      <w:r>
        <w:t xml:space="preserve"> — Los juzgados federales con competencia electoral deben hacer la reserva del color establecida en el artículo 25 de la Ley Nº 26.571 observando preferentemente el orden temporal en el que fuera efectuada tal reserva. En caso de controversia sobre la pretensión de color, decidirá a favor de la agrupación que se identifique tradicionalmente con el color.</w:t>
      </w:r>
    </w:p>
    <w:p w:rsidR="0071512A" w:rsidRDefault="0071512A" w:rsidP="0071512A">
      <w:pPr>
        <w:pStyle w:val="NormalWeb"/>
      </w:pPr>
      <w:r>
        <w:rPr>
          <w:b/>
          <w:bCs/>
        </w:rPr>
        <w:t>Art. 18.</w:t>
      </w:r>
      <w:r>
        <w:t xml:space="preserve"> — El juzgado federal con competencia electoral de la Capital Federal debe resolver sobre la asignación de colores solicitados por las agrupaciones nacionales y comunicar sus resoluciones a los demás juzgados electorales, dentro de las CUARENTA Y OCHO (48) horas de vencido el plazo para formular la solicitud de acuerdo a lo establecido en el artículo 25 de la Ley Nº 26.571.</w:t>
      </w:r>
    </w:p>
    <w:p w:rsidR="0071512A" w:rsidRDefault="0071512A" w:rsidP="0071512A">
      <w:pPr>
        <w:pStyle w:val="NormalWeb"/>
      </w:pPr>
      <w:r>
        <w:rPr>
          <w:b/>
          <w:bCs/>
        </w:rPr>
        <w:t>Art. 19.</w:t>
      </w:r>
      <w:r>
        <w:t xml:space="preserve"> — Dentro de las VEINTICUATRO (24) horas de notificados por el Juzgado Electoral de la Capital Federal, los juzgados federales con competencia electoral de cada distrito otorgarán a las agrupaciones de distrito que no pertenezcan a agrupaciones de orden nacional, los colores requeridos que no hayan sido reservados en el orden nacional.</w:t>
      </w:r>
    </w:p>
    <w:p w:rsidR="0071512A" w:rsidRDefault="0071512A" w:rsidP="0071512A">
      <w:pPr>
        <w:pStyle w:val="NormalWeb"/>
      </w:pPr>
      <w:r>
        <w:rPr>
          <w:b/>
          <w:bCs/>
        </w:rPr>
        <w:t>Art. 20.</w:t>
      </w:r>
      <w:r>
        <w:t xml:space="preserve"> — Para la confección de las boletas sólo puede utilizarse la escala de colores, codificada de manera que permita su identificación precisa, y el color de la tipografía respectiva, utilizando la codificación "Pantone". En todos los casos el reverso de las boletas debe imprimirse en fondo blanco.</w:t>
      </w:r>
    </w:p>
    <w:p w:rsidR="0071512A" w:rsidRDefault="0071512A" w:rsidP="0071512A">
      <w:pPr>
        <w:pStyle w:val="NormalWeb"/>
      </w:pPr>
      <w:r>
        <w:rPr>
          <w:b/>
          <w:bCs/>
        </w:rPr>
        <w:t>Art. 21.</w:t>
      </w:r>
      <w:r>
        <w:t xml:space="preserve"> — Cada agrupación política debe presentar para su oficialización formal, ante el Juzgado Electoral del distrito respectivo, los modelos de boletas, correspondientes a cada lista, impresos en el color reservado.</w:t>
      </w:r>
    </w:p>
    <w:p w:rsidR="0071512A" w:rsidRDefault="0071512A" w:rsidP="0071512A">
      <w:pPr>
        <w:pStyle w:val="NormalWeb"/>
      </w:pPr>
      <w:r>
        <w:rPr>
          <w:b/>
          <w:bCs/>
        </w:rPr>
        <w:t>Art. 22</w:t>
      </w:r>
      <w:r>
        <w:t>. — Para la aprobación formal de los modelos de boletas los juzgados federales con competencia electoral deben controlar además del cumplimiento de los requisitos establecidos en el artículo 62 del Código Electoral Nacional, el respeto de las listas oficializadas, los colores asignados, como así también que exista una clara diferenciación entre los modelos presentados por todas las agrupaciones</w:t>
      </w:r>
    </w:p>
    <w:p w:rsidR="0071512A" w:rsidRDefault="0071512A" w:rsidP="0071512A">
      <w:pPr>
        <w:pStyle w:val="NormalWeb"/>
      </w:pPr>
      <w:r>
        <w:rPr>
          <w:b/>
          <w:bCs/>
        </w:rPr>
        <w:t>Art. 23.</w:t>
      </w:r>
      <w:r>
        <w:t xml:space="preserve"> — Las Juntas Electorales de las agrupaciones políticas distribuirán los fondos recibidos para la campaña y para impresión de boletas simultáneamente y en partes iguales entre las listas de precandidatos oficializadas de cada categoría. Las agrupaciones políticas abrirán a favor de las listas oficializadas una subcuenta corriente de la correspondiente a la agrupación política a los efectos de emplearla para recibir la proporción que les corresponda del aporte de campaña y de impresión de boletas, los aportes privados y para efectuar todos los pagos relacionados con las elecciones primarias, aplicándose a las listas las mismas normas que a las agrupaciones políticas respecto de la gestión financiera.</w:t>
      </w:r>
    </w:p>
    <w:p w:rsidR="0071512A" w:rsidRDefault="0071512A" w:rsidP="0071512A">
      <w:pPr>
        <w:pStyle w:val="NormalWeb"/>
      </w:pPr>
      <w:r>
        <w:t>Los responsables económicos financieros y los apoderados de las listas tendrán la firma de los libramientos correspondientes y serán responsables por la utilización de las mismas. Presentado el informe establecido en el artículo 36 de la Ley Nº 26.571, se procederá al cierre de las subcuentas.</w:t>
      </w:r>
    </w:p>
    <w:p w:rsidR="0071512A" w:rsidRDefault="0071512A" w:rsidP="0071512A">
      <w:pPr>
        <w:pStyle w:val="NormalWeb"/>
      </w:pPr>
      <w:r>
        <w:rPr>
          <w:b/>
          <w:bCs/>
        </w:rPr>
        <w:t>Art. 24</w:t>
      </w:r>
      <w:r>
        <w:t>. — Las Juntas Electorales de las agrupaciones políticas deben informar a la justicia electoral, los responsables económicos financieros designados por cada una de las listas internas, al momento de comunicar la oficialización de las listas.</w:t>
      </w:r>
    </w:p>
    <w:p w:rsidR="0071512A" w:rsidRDefault="0071512A" w:rsidP="0071512A">
      <w:pPr>
        <w:pStyle w:val="NormalWeb"/>
      </w:pPr>
      <w:r>
        <w:rPr>
          <w:b/>
          <w:bCs/>
        </w:rPr>
        <w:t>Art. 25</w:t>
      </w:r>
      <w:r>
        <w:t>. — La Dirección Nacional Electoral calculará el monto del aporte para la impresión de boletas tanto para las elecciones primarias, abiertas, simultáneas y obligatorias, como para las elecciones nacionales, de acuerdo al precio de mercado de papel tipo obra de SESENTA (60) gramos, impreso en CUATRO (4) colores, en el mes de febrero de cada año electoral, sin perjuicio del papel y los colores que efectivamente utilice cada agrupación política.</w:t>
      </w:r>
    </w:p>
    <w:p w:rsidR="0071512A" w:rsidRDefault="0071512A" w:rsidP="0071512A">
      <w:pPr>
        <w:pStyle w:val="NormalWeb"/>
      </w:pPr>
      <w:r>
        <w:t>Para las elecciones primarias y generales del año 2011 deberá cumplirse con lo indicado precedentemente en el plazo de CINCO (5) días a partir de la publicación del presente decreto en el Boletín Oficial.</w:t>
      </w:r>
    </w:p>
    <w:p w:rsidR="0071512A" w:rsidRDefault="0071512A" w:rsidP="0071512A">
      <w:pPr>
        <w:pStyle w:val="NormalWeb"/>
      </w:pPr>
      <w:r>
        <w:rPr>
          <w:b/>
          <w:bCs/>
        </w:rPr>
        <w:t>Art. 26</w:t>
      </w:r>
      <w:r>
        <w:t>. — La Cámara Nacional Electoral al iniciarse la campaña electoral para las elecciones primarias, informará a las agrupaciones políticas el límite de gastos de campaña para cada agrupación, y para cada una de las listas internas que la integran, publicando esa información en el sitio web de la Cámara Nacional Electoral.</w:t>
      </w:r>
    </w:p>
    <w:p w:rsidR="0071512A" w:rsidRDefault="0071512A" w:rsidP="0071512A">
      <w:pPr>
        <w:pStyle w:val="NormalWeb"/>
      </w:pPr>
      <w:r>
        <w:rPr>
          <w:b/>
          <w:bCs/>
        </w:rPr>
        <w:t>Art. 27.</w:t>
      </w:r>
      <w:r>
        <w:t xml:space="preserve"> — Para las elecciones primarias abiertas, simultáneas y obligatorias, los Juzgados Federales con competencia electoral elaborarán las actas de escrutinio previstas en el artículo 39 de la Ley Nº 26.571 y los certificados y telegramas en base a los modelos que apruebe la Cámara Nacional Electoral.</w:t>
      </w:r>
    </w:p>
    <w:p w:rsidR="0071512A" w:rsidRDefault="0071512A" w:rsidP="0071512A">
      <w:pPr>
        <w:pStyle w:val="NormalWeb"/>
      </w:pPr>
      <w:r>
        <w:rPr>
          <w:b/>
          <w:bCs/>
        </w:rPr>
        <w:t>Art. 28.</w:t>
      </w:r>
      <w:r>
        <w:t xml:space="preserve"> — La guarda de boletas y documentos para su remisión al Juzgado Federal con competencia electoral se efectuará en los términos del artículo 103 del Código Electoral Nacional.</w:t>
      </w:r>
    </w:p>
    <w:p w:rsidR="0071512A" w:rsidRDefault="0071512A" w:rsidP="0071512A">
      <w:pPr>
        <w:pStyle w:val="NormalWeb"/>
      </w:pPr>
      <w:r>
        <w:rPr>
          <w:b/>
          <w:bCs/>
        </w:rPr>
        <w:t>Art. 29.</w:t>
      </w:r>
      <w:r>
        <w:t xml:space="preserve"> — Al momento de plantear recursos ante la Cámara Nacional Electoral y la CORTE SUPREMA DE JUSTICIA DE LA NACION las agrupaciones políticas deben constituir domicilio en la CIUDAD AUTONOMA DE BUENOS AIRES, bajo apercibimiento de tenerlo por constituido en los estrados del tribunal actuante.</w:t>
      </w:r>
    </w:p>
    <w:p w:rsidR="0071512A" w:rsidRDefault="0071512A" w:rsidP="0071512A">
      <w:pPr>
        <w:pStyle w:val="NormalWeb"/>
      </w:pPr>
      <w:r>
        <w:rPr>
          <w:b/>
          <w:bCs/>
        </w:rPr>
        <w:t>Art. 30.</w:t>
      </w:r>
      <w:r>
        <w:t xml:space="preserve"> — Comuníquese, publíquese, dése a la DIRECCION NACIONAL DEL REGISTRO OFICIAL y archívese. — FERNANDEZ DE KIRCHNER. — Aníbal D. Fernández. — Aníbal F. Randazzo.</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 xml:space="preserve">ELECCIONES </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LEY 15.262</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PROVINCIAS - REGISTRO NACIONAL DE ELECTORES. - Las provincias que hayan adoptado o adopten el Registro Nacional de Electores, podrán realizar sus elecciones provinciales y municipales simultáneamente con las elecciones nacionales.</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LEY N° 15.262</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Sancionada: diciembre 10 de 1959.</w:t>
      </w:r>
      <w:r w:rsidRPr="00A220A9">
        <w:rPr>
          <w:rFonts w:ascii="Times New Roman" w:eastAsia="Times New Roman" w:hAnsi="Times New Roman" w:cs="Times New Roman"/>
          <w:sz w:val="24"/>
          <w:szCs w:val="24"/>
          <w:lang w:eastAsia="es-AR"/>
        </w:rPr>
        <w:t xml:space="preserve"> </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Promulgada: diciembre 15 de 1959.</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B.O.: 19/12/59</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POR CUANTO:</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El Senado y Cámara de Diputados de la Nación Argentina reunidos en Congreso, etc., sancionan con fuerza de LEY:</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Artículo 1°.</w:t>
      </w:r>
      <w:r w:rsidRPr="00A220A9">
        <w:rPr>
          <w:rFonts w:ascii="Times New Roman" w:eastAsia="Times New Roman" w:hAnsi="Times New Roman" w:cs="Times New Roman"/>
          <w:sz w:val="24"/>
          <w:szCs w:val="24"/>
          <w:lang w:eastAsia="es-AR"/>
        </w:rPr>
        <w:t xml:space="preserve"> Las provincias que hayan adoptado o adopten en el futuro el Registro Nacional de Electores, podrán realizar sus elecciones provinciales y municipales simultáneamente con las elecciones nacionales, bajo las mismas autoridades de comicio y de escrutinio, en la forma que establezca la reglamentación. </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Art.2°.</w:t>
      </w:r>
      <w:r w:rsidRPr="00A220A9">
        <w:rPr>
          <w:rFonts w:ascii="Times New Roman" w:eastAsia="Times New Roman" w:hAnsi="Times New Roman" w:cs="Times New Roman"/>
          <w:sz w:val="24"/>
          <w:szCs w:val="24"/>
          <w:lang w:eastAsia="es-AR"/>
        </w:rPr>
        <w:t xml:space="preserve"> Las provincias que deseen acogerse al régimen de la presente ley deberán así comunicarlo al Poder Ejecutivo nacional con una antelación de por lo menos sesenta días a la fecha de la elección nacional, especificando las autoridades a elegir, el sistema por el cual debe procederse a la adjudicación de las representaciones y el detalle de las demarcaciones electorales convocadas para el acto.</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Art.3°.</w:t>
      </w:r>
      <w:r w:rsidRPr="00A220A9">
        <w:rPr>
          <w:rFonts w:ascii="Times New Roman" w:eastAsia="Times New Roman" w:hAnsi="Times New Roman" w:cs="Times New Roman"/>
          <w:sz w:val="24"/>
          <w:szCs w:val="24"/>
          <w:lang w:eastAsia="es-AR"/>
        </w:rPr>
        <w:t xml:space="preserve"> La oficialización de las boletas de sufragio y su distribución quedarán a cargo de la Junta Electoral Nacional, a cuyo efecto las autoridades locales respectivas remitirán la correspondiente lista de candidatos oficializados.</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Art.4°.</w:t>
      </w:r>
      <w:r w:rsidRPr="00A220A9">
        <w:rPr>
          <w:rFonts w:ascii="Times New Roman" w:eastAsia="Times New Roman" w:hAnsi="Times New Roman" w:cs="Times New Roman"/>
          <w:sz w:val="24"/>
          <w:szCs w:val="24"/>
          <w:lang w:eastAsia="es-AR"/>
        </w:rPr>
        <w:t xml:space="preserve"> Las provincias cuyas normas constitucionales les impidan acogerse al régimen previsto en esta ley, podrán celebrar simultáneamente elecciones nacionales, provinciales y municipales, en la misma fecha y en el mismo local, previo acuerdo de las juntas electorales respectivas con la Junta Electoral Nacional, en todo lo concerniente al mantenimiento del orden y a la efectividad de las garantías acordadas por el régimen electoral vigente.</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Art.5°.</w:t>
      </w:r>
      <w:r w:rsidRPr="00A220A9">
        <w:rPr>
          <w:rFonts w:ascii="Times New Roman" w:eastAsia="Times New Roman" w:hAnsi="Times New Roman" w:cs="Times New Roman"/>
          <w:sz w:val="24"/>
          <w:szCs w:val="24"/>
          <w:lang w:eastAsia="es-AR"/>
        </w:rPr>
        <w:t xml:space="preserve"> La proclamación de los candidatos provinciales electos será efectuada por la correspondiente autoridad local, a cuyo efecto la Junta Electoral Nacional le remitirá los resultados del escrutinio y acta final y, en caso de también requerirlo, los antecedentes respectivos.</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Art.6°.</w:t>
      </w:r>
      <w:r w:rsidRPr="00A220A9">
        <w:rPr>
          <w:rFonts w:ascii="Times New Roman" w:eastAsia="Times New Roman" w:hAnsi="Times New Roman" w:cs="Times New Roman"/>
          <w:sz w:val="24"/>
          <w:szCs w:val="24"/>
          <w:lang w:eastAsia="es-AR"/>
        </w:rPr>
        <w:t xml:space="preserve"> Comuníquese al Poder Ejecutivo.</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Dada en la Sala de Sesiones del Congreso Argentino, en Buenos Aires, a 10 de diciembre de 1959.</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 xml:space="preserve">M.GUIDO. - Alejandro N. Barraza. - F.F. MONJARDIN - Guillermo González. </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Registrada bajo el N° 15.262</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Buenos Aires, diciembre 15 de 1959</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POR TANTO;</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Téngase por Ley de la Nación, cúmplase, comunícase, publíquese, dése a la Dirección General del Boletín Oficial e Imprentas y archívese.</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sz w:val="24"/>
          <w:szCs w:val="24"/>
          <w:lang w:eastAsia="es-AR"/>
        </w:rPr>
        <w:t>FRONDIZI.- Justo P. Villar.</w:t>
      </w:r>
    </w:p>
    <w:p w:rsidR="0071512A" w:rsidRPr="00A220A9" w:rsidRDefault="0071512A" w:rsidP="0071512A">
      <w:pPr>
        <w:spacing w:before="100" w:beforeAutospacing="1" w:after="100" w:afterAutospacing="1" w:line="240" w:lineRule="auto"/>
        <w:rPr>
          <w:rFonts w:ascii="Times New Roman" w:eastAsia="Times New Roman" w:hAnsi="Times New Roman" w:cs="Times New Roman"/>
          <w:sz w:val="24"/>
          <w:szCs w:val="24"/>
          <w:lang w:eastAsia="es-AR"/>
        </w:rPr>
      </w:pPr>
      <w:r w:rsidRPr="00A220A9">
        <w:rPr>
          <w:rFonts w:ascii="Times New Roman" w:eastAsia="Times New Roman" w:hAnsi="Times New Roman" w:cs="Times New Roman"/>
          <w:b/>
          <w:bCs/>
          <w:sz w:val="24"/>
          <w:szCs w:val="24"/>
          <w:lang w:eastAsia="es-AR"/>
        </w:rPr>
        <w:t>Decreto N° 16.629</w:t>
      </w: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2A"/>
    <w:rsid w:val="004F5BEC"/>
    <w:rsid w:val="005D7E62"/>
    <w:rsid w:val="0071512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2A"/>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512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151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2A"/>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1512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15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leg.gob.ar/infolegInternet/verNorma.do?id=246692" TargetMode="External"/><Relationship Id="rId6" Type="http://schemas.openxmlformats.org/officeDocument/2006/relationships/hyperlink" Target="http://www.infoleg.gob.ar/infolegInternet/verNorma.do?id=246692" TargetMode="External"/><Relationship Id="rId7" Type="http://schemas.openxmlformats.org/officeDocument/2006/relationships/hyperlink" Target="http://www.infoleg.gob.ar/infolegInternet/verNorma.do?id=246692" TargetMode="External"/><Relationship Id="rId8" Type="http://schemas.openxmlformats.org/officeDocument/2006/relationships/hyperlink" Target="http://www.infoleg.gob.ar/infolegInternet/verNorma.do?id=24669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2502</Words>
  <Characters>13762</Characters>
  <Application>Microsoft Macintosh Word</Application>
  <DocSecurity>0</DocSecurity>
  <Lines>114</Lines>
  <Paragraphs>32</Paragraphs>
  <ScaleCrop>false</ScaleCrop>
  <Company>Ninguna</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2017-09-15T13:18:00Z</dcterms:created>
  <dcterms:modified xsi:type="dcterms:W3CDTF">2017-09-15T13:19:00Z</dcterms:modified>
</cp:coreProperties>
</file>