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both"/>
        <w:rPr/>
      </w:pPr>
      <w:r w:rsidDel="00000000" w:rsidR="00000000" w:rsidRPr="00000000">
        <w:rPr>
          <w:b w:val="1"/>
          <w:rtl w:val="0"/>
        </w:rPr>
        <w:t xml:space="preserve">BASES DE LA CONVOCATORIA PARA PROPUESTAS DE INVERSIÓN EN “ENERGÍAS RENOVABLES Y EFICIENCIA ENERGÉTICA” PARA MEJORAR LA UTILIZACIÓN DEL AGUA PARA RIEGO INTRAPREDIAL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color w:val="000000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b w:val="1"/>
          <w:color w:val="000000"/>
          <w:u w:val="single"/>
          <w:rtl w:val="0"/>
        </w:rPr>
        <w:t xml:space="preserve">Consideraciones generales</w:t>
      </w:r>
      <w:r w:rsidDel="00000000" w:rsidR="00000000" w:rsidRPr="00000000">
        <w:rPr>
          <w:color w:val="000000"/>
          <w:rtl w:val="0"/>
        </w:rPr>
        <w:t xml:space="preserve"> </w:t>
      </w:r>
    </w:p>
    <w:p w:rsidR="00000000" w:rsidDel="00000000" w:rsidP="00000000" w:rsidRDefault="00000000" w:rsidRPr="00000000" w14:paraId="00000005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La Secretaria de Planificación del Desarrollo y la Competitividad Federal (SECPLAN) del Ministerio de Economía de la Nación a través de La Dirección General de Programas y Proyectos Sectoriales y Especiales (DIPROSE)) convoca a la presentación de propuestas de inversión destinadas a  aumentar la eficiencia del riego intrapredial y la eficiencia energética a través de mejorar la tecnología de  los sistemas de riego existentes  y la  incorporación de energías renovables en la explotación  agropecuaria empadronadas en las instituciones provinciales de riego . La convocatoria se realiza en el marco del Programa de Servicios Agrícolas Provinciales (PROSAP). </w:t>
      </w:r>
    </w:p>
    <w:p w:rsidR="00000000" w:rsidDel="00000000" w:rsidP="00000000" w:rsidRDefault="00000000" w:rsidRPr="00000000" w14:paraId="00000008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La finalidad de la convocatoria es promover inversiones privadas destinadas a I) Mejorar la eficiencia de riego intrapredial II) Fomentar el uso sustentable de los recursos naturales, con énfasis en el recurso hídrico III) Facilitar mejoras en eficiencia energética; IV) Impulsar el uso de energías renovables;  V) Mejorar la competitividad y el desarrollo de la actividad agropecuaria.</w:t>
      </w:r>
    </w:p>
    <w:p w:rsidR="00000000" w:rsidDel="00000000" w:rsidP="00000000" w:rsidRDefault="00000000" w:rsidRPr="00000000" w14:paraId="0000000A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La promoción de inversiones se realizará mediante la adjudicación de Aportes No Reembolsables (ANR).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both"/>
        <w:rPr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jc w:val="both"/>
        <w:rPr/>
      </w:pPr>
      <w:r w:rsidDel="00000000" w:rsidR="00000000" w:rsidRPr="00000000">
        <w:rPr>
          <w:b w:val="1"/>
          <w:u w:val="single"/>
          <w:rtl w:val="0"/>
        </w:rPr>
        <w:t xml:space="preserve">¿Quiénes organizan?</w:t>
      </w:r>
      <w:r w:rsidDel="00000000" w:rsidR="00000000" w:rsidRPr="00000000">
        <w:rPr>
          <w:rtl w:val="0"/>
        </w:rPr>
        <w:t xml:space="preserve"> </w:t>
      </w:r>
    </w:p>
    <w:p w:rsidR="00000000" w:rsidDel="00000000" w:rsidP="00000000" w:rsidRDefault="00000000" w:rsidRPr="00000000" w14:paraId="0000000E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jc w:val="both"/>
        <w:rPr>
          <w:b w:val="1"/>
          <w:color w:val="000000"/>
        </w:rPr>
      </w:pPr>
      <w:r w:rsidDel="00000000" w:rsidR="00000000" w:rsidRPr="00000000">
        <w:rPr>
          <w:color w:val="000000"/>
          <w:rtl w:val="0"/>
        </w:rPr>
        <w:t xml:space="preserve">La</w:t>
      </w:r>
      <w:r w:rsidDel="00000000" w:rsidR="00000000" w:rsidRPr="00000000">
        <w:rPr>
          <w:b w:val="1"/>
          <w:color w:val="000000"/>
          <w:rtl w:val="0"/>
        </w:rPr>
        <w:t xml:space="preserve"> Dirección General de Programas y Proyectos Sectoriales y Especiales (DIPROSE) del Ministerio de </w:t>
      </w:r>
    </w:p>
    <w:p w:rsidR="00000000" w:rsidDel="00000000" w:rsidP="00000000" w:rsidRDefault="00000000" w:rsidRPr="00000000" w14:paraId="00000010">
      <w:pPr>
        <w:spacing w:after="0" w:line="240" w:lineRule="auto"/>
        <w:jc w:val="both"/>
        <w:rPr/>
      </w:pPr>
      <w:r w:rsidDel="00000000" w:rsidR="00000000" w:rsidRPr="00000000">
        <w:rPr>
          <w:b w:val="1"/>
          <w:color w:val="000000"/>
          <w:rtl w:val="0"/>
        </w:rPr>
        <w:t xml:space="preserve">Economía de la Nación</w:t>
      </w:r>
      <w:r w:rsidDel="00000000" w:rsidR="00000000" w:rsidRPr="00000000">
        <w:rPr>
          <w:b w:val="1"/>
          <w:rtl w:val="0"/>
        </w:rPr>
        <w:t xml:space="preserve">, </w:t>
      </w:r>
      <w:r w:rsidDel="00000000" w:rsidR="00000000" w:rsidRPr="00000000">
        <w:rPr>
          <w:rtl w:val="0"/>
        </w:rPr>
        <w:t xml:space="preserve">en el marco del</w:t>
      </w:r>
      <w:r w:rsidDel="00000000" w:rsidR="00000000" w:rsidRPr="00000000">
        <w:rPr>
          <w:b w:val="1"/>
          <w:rtl w:val="0"/>
        </w:rPr>
        <w:t xml:space="preserve"> Préstamo BID 3806/OC-AR,</w:t>
      </w:r>
      <w:r w:rsidDel="00000000" w:rsidR="00000000" w:rsidRPr="00000000">
        <w:rPr>
          <w:rtl w:val="0"/>
        </w:rPr>
        <w:t xml:space="preserve">  a través del Equipo de Servicios Financieros y Aportes No Reembolsables (ANR)- PROSAP de la Unidad de Desarrollo Competitivo  , con la colaboración de la Unidad de Gestión Ambiental y Social (UGAS), Ambas  unidades pertenecientes a la Dirección de Gestión y Monitoreo de Programas y Proyectos Sectoriales y Especiales.  </w:t>
      </w:r>
    </w:p>
    <w:p w:rsidR="00000000" w:rsidDel="00000000" w:rsidP="00000000" w:rsidRDefault="00000000" w:rsidRPr="00000000" w14:paraId="00000011">
      <w:pPr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color w:val="000000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b w:val="1"/>
          <w:color w:val="000000"/>
          <w:u w:val="single"/>
          <w:rtl w:val="0"/>
        </w:rPr>
        <w:t xml:space="preserve">Objetivo de la convocatoria</w:t>
      </w:r>
      <w:r w:rsidDel="00000000" w:rsidR="00000000" w:rsidRPr="00000000">
        <w:rPr>
          <w:color w:val="000000"/>
          <w:rtl w:val="0"/>
        </w:rPr>
        <w:t xml:space="preserve"> </w:t>
      </w:r>
    </w:p>
    <w:p w:rsidR="00000000" w:rsidDel="00000000" w:rsidP="00000000" w:rsidRDefault="00000000" w:rsidRPr="00000000" w14:paraId="00000014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La convocatoria está orientada a apoyar el desarrollo sustentable de actividades agropecuarias y promocionar la innovación tecnológica de bajo impacto ambiental y producción más limpia.  Se cofinanciará la línea de ANR para las siguientes inversiones: </w:t>
      </w:r>
    </w:p>
    <w:p w:rsidR="00000000" w:rsidDel="00000000" w:rsidP="00000000" w:rsidRDefault="00000000" w:rsidRPr="00000000" w14:paraId="00000016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20"/>
        </w:numPr>
        <w:spacing w:after="0" w:line="240" w:lineRule="auto"/>
        <w:ind w:left="1418" w:hanging="709"/>
        <w:rPr/>
      </w:pPr>
      <w:r w:rsidDel="00000000" w:rsidR="00000000" w:rsidRPr="00000000">
        <w:rPr>
          <w:rtl w:val="0"/>
        </w:rPr>
        <w:t xml:space="preserve">Componentes del sistema de riego (gravitacional/localizado),  distribución y                         acumulación del agua intrafinca  , nivelación de terrenos, mejora de canales/drenes intrafinca </w:t>
      </w:r>
    </w:p>
    <w:p w:rsidR="00000000" w:rsidDel="00000000" w:rsidP="00000000" w:rsidRDefault="00000000" w:rsidRPr="00000000" w14:paraId="00000018">
      <w:pPr>
        <w:numPr>
          <w:ilvl w:val="0"/>
          <w:numId w:val="20"/>
        </w:numPr>
        <w:spacing w:after="0" w:line="240" w:lineRule="auto"/>
        <w:ind w:left="720" w:firstLine="0"/>
        <w:jc w:val="both"/>
        <w:rPr/>
      </w:pPr>
      <w:r w:rsidDel="00000000" w:rsidR="00000000" w:rsidRPr="00000000">
        <w:rPr>
          <w:rtl w:val="0"/>
        </w:rPr>
        <w:t xml:space="preserve">Bombas solares para la extracción/impulsión de agua para riego.</w:t>
      </w:r>
    </w:p>
    <w:p w:rsidR="00000000" w:rsidDel="00000000" w:rsidP="00000000" w:rsidRDefault="00000000" w:rsidRPr="00000000" w14:paraId="00000019">
      <w:pPr>
        <w:numPr>
          <w:ilvl w:val="0"/>
          <w:numId w:val="20"/>
        </w:numPr>
        <w:spacing w:after="0" w:line="240" w:lineRule="auto"/>
        <w:ind w:left="720" w:firstLine="0"/>
        <w:jc w:val="both"/>
        <w:rPr/>
      </w:pPr>
      <w:r w:rsidDel="00000000" w:rsidR="00000000" w:rsidRPr="00000000">
        <w:rPr>
          <w:rtl w:val="0"/>
        </w:rPr>
        <w:t xml:space="preserve">Kit fotovoltaico para la generación/acumulación de energía eléctrica aplicada al riego </w:t>
      </w:r>
    </w:p>
    <w:p w:rsidR="00000000" w:rsidDel="00000000" w:rsidP="00000000" w:rsidRDefault="00000000" w:rsidRPr="00000000" w14:paraId="0000001A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b w:val="1"/>
          <w:color w:val="000000"/>
          <w:u w:val="single"/>
          <w:rtl w:val="0"/>
        </w:rPr>
        <w:t xml:space="preserve">De los fondos </w:t>
      </w:r>
      <w:r w:rsidDel="00000000" w:rsidR="00000000" w:rsidRPr="00000000">
        <w:rPr>
          <w:color w:val="000000"/>
          <w:rtl w:val="0"/>
        </w:rPr>
        <w:t xml:space="preserve"> </w:t>
      </w:r>
    </w:p>
    <w:p w:rsidR="00000000" w:rsidDel="00000000" w:rsidP="00000000" w:rsidRDefault="00000000" w:rsidRPr="00000000" w14:paraId="0000001D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A los efectos del presente llamado, se destinará del préstamo BID 3806 hasta un monto total de DÓLARES UN MILLÓN DOSCIENTOS MIL. (U$D 1.200.000,-) para la línea de ANR definida anteriormente. El Límite del apoyo financiero como Aporte No Reembolsable    será de hasta el 60% de la inversión con un límite en pesos equivalentes a TREINTA MIL DÓLARES ESTADOUNIDENSES (USD 30.000,-). </w:t>
      </w:r>
    </w:p>
    <w:p w:rsidR="00000000" w:rsidDel="00000000" w:rsidP="00000000" w:rsidRDefault="00000000" w:rsidRPr="00000000" w14:paraId="0000001F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 </w:t>
      </w:r>
    </w:p>
    <w:p w:rsidR="00000000" w:rsidDel="00000000" w:rsidP="00000000" w:rsidRDefault="00000000" w:rsidRPr="00000000" w14:paraId="00000020">
      <w:pPr>
        <w:spacing w:after="0" w:line="240" w:lineRule="auto"/>
        <w:jc w:val="both"/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A su vez y de acuerdo al procedimiento desarrollado en las presentes Bases, serán adjudicadas las propuestas de inversión elegibles hasta alcanzar el monto de DÓLARES UN MILLÓN DOSCIENTOS MIL  (U$D 1.200.000,-) momento en el cual se agotarán los “cupos” disponibles. Dichos montos surgirán de la suma de los ANR solicitados en las propuestas mencionadas.  Las propuestas se analizarán y evaluarán por orden de llegada emitiéndose los correspondientes dictámenes.</w:t>
      </w:r>
    </w:p>
    <w:p w:rsidR="00000000" w:rsidDel="00000000" w:rsidP="00000000" w:rsidRDefault="00000000" w:rsidRPr="00000000" w14:paraId="00000021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El Cupo estipulado podrá ser ampliado o reducido, de acuerdo a la situación presupuestaria del componente Fondos de Modernización Tecnológica.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line="240" w:lineRule="auto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u w:val="single"/>
          <w:rtl w:val="0"/>
        </w:rPr>
        <w:t xml:space="preserve">¿</w:t>
      </w:r>
      <w:r w:rsidDel="00000000" w:rsidR="00000000" w:rsidRPr="00000000">
        <w:rPr>
          <w:b w:val="1"/>
          <w:u w:val="single"/>
          <w:rtl w:val="0"/>
        </w:rPr>
        <w:t xml:space="preserve">Quiénes pueden participar?</w:t>
      </w:r>
      <w:r w:rsidDel="00000000" w:rsidR="00000000" w:rsidRPr="00000000">
        <w:rPr>
          <w:rtl w:val="0"/>
        </w:rPr>
        <w:t xml:space="preserve"> </w:t>
      </w:r>
    </w:p>
    <w:p w:rsidR="00000000" w:rsidDel="00000000" w:rsidP="00000000" w:rsidRDefault="00000000" w:rsidRPr="00000000" w14:paraId="00000026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Productores y empresas agropecuarias capitalizadas de la República Argentina.  Además, se deberá reunir los siguientes requisitos:</w:t>
      </w:r>
    </w:p>
    <w:p w:rsidR="00000000" w:rsidDel="00000000" w:rsidP="00000000" w:rsidRDefault="00000000" w:rsidRPr="00000000" w14:paraId="00000028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a) Ser REGANTE de uno de los  sistemas de riego donde se haya ejecutado o se encuentre en ejecución un proyecto de Inversión Pública  de Riego y Drenaje-Administración y Manejo de los Recursos Hídricos. </w:t>
      </w:r>
    </w:p>
    <w:p w:rsidR="00000000" w:rsidDel="00000000" w:rsidP="00000000" w:rsidRDefault="00000000" w:rsidRPr="00000000" w14:paraId="0000002A">
      <w:p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b) Encuadrar en la categoría MiPyME 1 según Resolución de la SECRETARIA DE LA PEQUEÑA Y MEDIANA EMPRESA Y LOS EMPRENDEDORES Nº  69/2020 o la que en un futuro la sustituya o complemente, presentando el certificado correspondiente.</w:t>
      </w:r>
    </w:p>
    <w:p w:rsidR="00000000" w:rsidDel="00000000" w:rsidP="00000000" w:rsidRDefault="00000000" w:rsidRPr="00000000" w14:paraId="0000002B">
      <w:p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c) Tener una cuenta bancaria a su nombre. </w:t>
      </w:r>
    </w:p>
    <w:p w:rsidR="00000000" w:rsidDel="00000000" w:rsidP="00000000" w:rsidRDefault="00000000" w:rsidRPr="00000000" w14:paraId="0000002C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4472c4"/>
          <w:sz w:val="18"/>
          <w:szCs w:val="18"/>
        </w:rPr>
      </w:pPr>
      <w:r w:rsidDel="00000000" w:rsidR="00000000" w:rsidRPr="00000000">
        <w:rPr>
          <w:color w:val="4472c4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0" w:line="240" w:lineRule="auto"/>
        <w:jc w:val="both"/>
        <w:rPr/>
      </w:pPr>
      <w:r w:rsidDel="00000000" w:rsidR="00000000" w:rsidRPr="00000000">
        <w:rPr>
          <w:b w:val="1"/>
          <w:u w:val="single"/>
          <w:rtl w:val="0"/>
        </w:rPr>
        <w:t xml:space="preserve">Exclusiones. No serán sujetos elegibles: </w:t>
      </w:r>
      <w:r w:rsidDel="00000000" w:rsidR="00000000" w:rsidRPr="00000000">
        <w:rPr>
          <w:rtl w:val="0"/>
        </w:rPr>
        <w:t xml:space="preserve"> </w:t>
      </w:r>
    </w:p>
    <w:p w:rsidR="00000000" w:rsidDel="00000000" w:rsidP="00000000" w:rsidRDefault="00000000" w:rsidRPr="00000000" w14:paraId="0000002F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19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Los funcionarios públicos con cargos electivos y sus familiares hasta el cuarto grado de consanguinidad y/o segundo de afinidad. </w:t>
      </w:r>
    </w:p>
    <w:p w:rsidR="00000000" w:rsidDel="00000000" w:rsidP="00000000" w:rsidRDefault="00000000" w:rsidRPr="00000000" w14:paraId="00000031">
      <w:pPr>
        <w:numPr>
          <w:ilvl w:val="0"/>
          <w:numId w:val="19"/>
        </w:numPr>
        <w:spacing w:after="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Las sociedades en donde la mayoría absoluta del capital con derecho a voto –o una participación tal que le permita detentar la voluntad social- sea propiedad de una sociedad extranjera.  </w:t>
      </w:r>
    </w:p>
    <w:p w:rsidR="00000000" w:rsidDel="00000000" w:rsidP="00000000" w:rsidRDefault="00000000" w:rsidRPr="00000000" w14:paraId="00000032">
      <w:pPr>
        <w:numPr>
          <w:ilvl w:val="0"/>
          <w:numId w:val="19"/>
        </w:numPr>
        <w:spacing w:after="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Los organismos del Estado, centralizado o descentralizado, entes autárquicos o sociedades con participación estatal sea total o mayoritaria. Dichos organismos tan solo podrán ser contratados por las asociaciones como asesores técnicos.  </w:t>
      </w:r>
    </w:p>
    <w:p w:rsidR="00000000" w:rsidDel="00000000" w:rsidP="00000000" w:rsidRDefault="00000000" w:rsidRPr="00000000" w14:paraId="00000033">
      <w:pPr>
        <w:numPr>
          <w:ilvl w:val="0"/>
          <w:numId w:val="19"/>
        </w:numPr>
        <w:spacing w:after="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Los Beneficiarios que hayan ejecutado una inversión con el beneficio de un ANR de la anterior convocatoria ambiental.  </w:t>
      </w:r>
    </w:p>
    <w:p w:rsidR="00000000" w:rsidDel="00000000" w:rsidP="00000000" w:rsidRDefault="00000000" w:rsidRPr="00000000" w14:paraId="00000034">
      <w:pPr>
        <w:numPr>
          <w:ilvl w:val="0"/>
          <w:numId w:val="19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Una misma entidad solicitante no podrá presentar más de un proyecto por llamado. </w:t>
      </w:r>
    </w:p>
    <w:p w:rsidR="00000000" w:rsidDel="00000000" w:rsidP="00000000" w:rsidRDefault="00000000" w:rsidRPr="00000000" w14:paraId="00000035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after="0" w:line="240" w:lineRule="auto"/>
        <w:jc w:val="both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0" w:line="240" w:lineRule="auto"/>
        <w:jc w:val="both"/>
        <w:rPr/>
      </w:pPr>
      <w:r w:rsidDel="00000000" w:rsidR="00000000" w:rsidRPr="00000000">
        <w:rPr>
          <w:b w:val="1"/>
          <w:u w:val="single"/>
          <w:rtl w:val="0"/>
        </w:rPr>
        <w:t xml:space="preserve">¿Qué se puede financiar con ANR?</w:t>
      </w:r>
      <w:r w:rsidDel="00000000" w:rsidR="00000000" w:rsidRPr="00000000">
        <w:rPr>
          <w:rtl w:val="0"/>
        </w:rPr>
        <w:t xml:space="preserve"> </w:t>
      </w:r>
    </w:p>
    <w:p w:rsidR="00000000" w:rsidDel="00000000" w:rsidP="00000000" w:rsidRDefault="00000000" w:rsidRPr="00000000" w14:paraId="00000038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color w:val="000000"/>
          <w:rtl w:val="0"/>
        </w:rPr>
        <w:t xml:space="preserve">En relación a la línea de ANR “</w:t>
      </w:r>
      <w:r w:rsidDel="00000000" w:rsidR="00000000" w:rsidRPr="00000000">
        <w:rPr>
          <w:b w:val="1"/>
          <w:color w:val="000000"/>
          <w:rtl w:val="0"/>
        </w:rPr>
        <w:t xml:space="preserve">Energías Renovables”</w:t>
      </w:r>
      <w:r w:rsidDel="00000000" w:rsidR="00000000" w:rsidRPr="00000000">
        <w:rPr>
          <w:color w:val="000000"/>
          <w:rtl w:val="0"/>
        </w:rPr>
        <w:t xml:space="preserve">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numPr>
          <w:ilvl w:val="0"/>
          <w:numId w:val="2"/>
        </w:numPr>
        <w:spacing w:after="0" w:line="240" w:lineRule="auto"/>
        <w:ind w:left="405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Incorporación de tecnologías para la mejora de la eficiencia del riego intrapredial y generación de energías renovables, aplicables en la Explotación agropecuaria.  </w:t>
      </w:r>
    </w:p>
    <w:p w:rsidR="00000000" w:rsidDel="00000000" w:rsidP="00000000" w:rsidRDefault="00000000" w:rsidRPr="00000000" w14:paraId="0000003B">
      <w:pPr>
        <w:numPr>
          <w:ilvl w:val="0"/>
          <w:numId w:val="2"/>
        </w:numPr>
        <w:spacing w:after="0" w:line="240" w:lineRule="auto"/>
        <w:ind w:left="405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Serán elegibles las tecnologías establecidas para energías renovables de fuente solar y las tecnologías para riego que disminuyan la pérdida de agua: </w:t>
      </w:r>
    </w:p>
    <w:p w:rsidR="00000000" w:rsidDel="00000000" w:rsidP="00000000" w:rsidRDefault="00000000" w:rsidRPr="00000000" w14:paraId="0000003C">
      <w:pPr>
        <w:numPr>
          <w:ilvl w:val="0"/>
          <w:numId w:val="5"/>
        </w:numPr>
        <w:spacing w:after="0" w:line="240" w:lineRule="auto"/>
        <w:ind w:left="1125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Riego  localizado/gravitacional </w:t>
      </w:r>
    </w:p>
    <w:p w:rsidR="00000000" w:rsidDel="00000000" w:rsidP="00000000" w:rsidRDefault="00000000" w:rsidRPr="00000000" w14:paraId="0000003D">
      <w:pPr>
        <w:numPr>
          <w:ilvl w:val="0"/>
          <w:numId w:val="5"/>
        </w:numPr>
        <w:spacing w:after="0" w:line="240" w:lineRule="auto"/>
        <w:ind w:left="1125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Bombas solares  </w:t>
      </w:r>
    </w:p>
    <w:p w:rsidR="00000000" w:rsidDel="00000000" w:rsidP="00000000" w:rsidRDefault="00000000" w:rsidRPr="00000000" w14:paraId="0000003E">
      <w:pPr>
        <w:numPr>
          <w:ilvl w:val="0"/>
          <w:numId w:val="5"/>
        </w:numPr>
        <w:spacing w:after="0" w:line="240" w:lineRule="auto"/>
        <w:ind w:left="1125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Paneles solares fotovoltaicos </w:t>
      </w:r>
    </w:p>
    <w:p w:rsidR="00000000" w:rsidDel="00000000" w:rsidP="00000000" w:rsidRDefault="00000000" w:rsidRPr="00000000" w14:paraId="0000003F">
      <w:pPr>
        <w:spacing w:after="0" w:line="240" w:lineRule="auto"/>
        <w:ind w:left="1125" w:firstLine="0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color w:val="000000"/>
          <w:rtl w:val="0"/>
        </w:rPr>
        <w:t xml:space="preserve">Para esta línea de ANR también se consideran gastos elegibles las inversiones asociadas a, bienes de capital, obras o infraestructura, asistencia técnica y capacitaciones necesarias para la implementación de la tecnología a adoptar, así como su dimensionamiento e instalación.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after="0" w:line="240" w:lineRule="auto"/>
        <w:jc w:val="both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0" w:line="240" w:lineRule="auto"/>
        <w:jc w:val="both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b w:val="1"/>
          <w:color w:val="000000"/>
          <w:u w:val="single"/>
          <w:rtl w:val="0"/>
        </w:rPr>
        <w:t xml:space="preserve">No se financiarán los siguientes rubros:</w:t>
      </w:r>
      <w:r w:rsidDel="00000000" w:rsidR="00000000" w:rsidRPr="00000000">
        <w:rPr>
          <w:color w:val="000000"/>
          <w:rtl w:val="0"/>
        </w:rPr>
        <w:t xml:space="preserve"> </w:t>
      </w:r>
    </w:p>
    <w:p w:rsidR="00000000" w:rsidDel="00000000" w:rsidP="00000000" w:rsidRDefault="00000000" w:rsidRPr="00000000" w14:paraId="00000045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numPr>
          <w:ilvl w:val="0"/>
          <w:numId w:val="8"/>
        </w:numPr>
        <w:spacing w:after="0" w:line="240" w:lineRule="auto"/>
        <w:ind w:left="360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Bienes usados </w:t>
      </w:r>
    </w:p>
    <w:p w:rsidR="00000000" w:rsidDel="00000000" w:rsidP="00000000" w:rsidRDefault="00000000" w:rsidRPr="00000000" w14:paraId="00000047">
      <w:pPr>
        <w:numPr>
          <w:ilvl w:val="0"/>
          <w:numId w:val="8"/>
        </w:numPr>
        <w:spacing w:after="0" w:line="240" w:lineRule="auto"/>
        <w:ind w:left="360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Gastos e inversiones no relacionados con los objetivos de mejora definidos en la Propuesta </w:t>
      </w:r>
    </w:p>
    <w:p w:rsidR="00000000" w:rsidDel="00000000" w:rsidP="00000000" w:rsidRDefault="00000000" w:rsidRPr="00000000" w14:paraId="00000048">
      <w:pPr>
        <w:spacing w:after="0" w:line="240" w:lineRule="auto"/>
        <w:ind w:left="360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      de Inversión. </w:t>
      </w:r>
    </w:p>
    <w:p w:rsidR="00000000" w:rsidDel="00000000" w:rsidP="00000000" w:rsidRDefault="00000000" w:rsidRPr="00000000" w14:paraId="00000049">
      <w:pPr>
        <w:numPr>
          <w:ilvl w:val="0"/>
          <w:numId w:val="8"/>
        </w:numPr>
        <w:spacing w:after="0" w:line="240" w:lineRule="auto"/>
        <w:ind w:left="360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Gastos generales de administración de los beneficiarios. </w:t>
      </w:r>
    </w:p>
    <w:p w:rsidR="00000000" w:rsidDel="00000000" w:rsidP="00000000" w:rsidRDefault="00000000" w:rsidRPr="00000000" w14:paraId="0000004A">
      <w:pPr>
        <w:numPr>
          <w:ilvl w:val="0"/>
          <w:numId w:val="8"/>
        </w:numPr>
        <w:spacing w:after="0" w:line="240" w:lineRule="auto"/>
        <w:ind w:left="360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Compra o alquiler de inmuebles. </w:t>
      </w:r>
    </w:p>
    <w:p w:rsidR="00000000" w:rsidDel="00000000" w:rsidP="00000000" w:rsidRDefault="00000000" w:rsidRPr="00000000" w14:paraId="0000004B">
      <w:pPr>
        <w:numPr>
          <w:ilvl w:val="0"/>
          <w:numId w:val="8"/>
        </w:numPr>
        <w:spacing w:after="0" w:line="240" w:lineRule="auto"/>
        <w:ind w:left="360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Reestructuración de deudas, pagos de dividendos o recuperaciones de capital invertidos. </w:t>
      </w:r>
    </w:p>
    <w:p w:rsidR="00000000" w:rsidDel="00000000" w:rsidP="00000000" w:rsidRDefault="00000000" w:rsidRPr="00000000" w14:paraId="0000004C">
      <w:pPr>
        <w:numPr>
          <w:ilvl w:val="0"/>
          <w:numId w:val="9"/>
        </w:numPr>
        <w:spacing w:after="0" w:line="240" w:lineRule="auto"/>
        <w:ind w:left="360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Pago de impuestos </w:t>
      </w:r>
    </w:p>
    <w:p w:rsidR="00000000" w:rsidDel="00000000" w:rsidP="00000000" w:rsidRDefault="00000000" w:rsidRPr="00000000" w14:paraId="0000004D">
      <w:pPr>
        <w:numPr>
          <w:ilvl w:val="0"/>
          <w:numId w:val="9"/>
        </w:numPr>
        <w:spacing w:after="0" w:line="240" w:lineRule="auto"/>
        <w:ind w:left="360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Reparaciones. </w:t>
      </w:r>
    </w:p>
    <w:p w:rsidR="00000000" w:rsidDel="00000000" w:rsidP="00000000" w:rsidRDefault="00000000" w:rsidRPr="00000000" w14:paraId="0000004E">
      <w:pPr>
        <w:numPr>
          <w:ilvl w:val="0"/>
          <w:numId w:val="9"/>
        </w:numPr>
        <w:spacing w:after="0" w:line="240" w:lineRule="auto"/>
        <w:ind w:left="720" w:hanging="36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Vehículos</w:t>
      </w:r>
    </w:p>
    <w:p w:rsidR="00000000" w:rsidDel="00000000" w:rsidP="00000000" w:rsidRDefault="00000000" w:rsidRPr="00000000" w14:paraId="0000004F">
      <w:pPr>
        <w:spacing w:after="0" w:line="240" w:lineRule="auto"/>
        <w:ind w:left="360" w:firstLine="0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after="0" w:line="240" w:lineRule="auto"/>
        <w:jc w:val="both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b w:val="1"/>
          <w:color w:val="000000"/>
          <w:u w:val="single"/>
          <w:rtl w:val="0"/>
        </w:rPr>
        <w:t xml:space="preserve">Fecha de inicio de la convocatoria</w:t>
      </w:r>
      <w:r w:rsidDel="00000000" w:rsidR="00000000" w:rsidRPr="00000000">
        <w:rPr>
          <w:color w:val="000000"/>
          <w:rtl w:val="0"/>
        </w:rPr>
        <w:t xml:space="preserve"> </w:t>
      </w:r>
    </w:p>
    <w:p w:rsidR="00000000" w:rsidDel="00000000" w:rsidP="00000000" w:rsidRDefault="00000000" w:rsidRPr="00000000" w14:paraId="00000052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La presentación del proyecto definitivo deberá realizarse a partir del  20 de Octubre de 2023 y hasta el 20 de noviembre de 2023 enviando  el formulario completo y la documentación anexa  al correo electrónico  </w:t>
      </w:r>
      <w:r w:rsidDel="00000000" w:rsidR="00000000" w:rsidRPr="00000000">
        <w:rPr>
          <w:color w:val="000000"/>
          <w:rtl w:val="0"/>
        </w:rPr>
        <w:t xml:space="preserve">servfinancierosdiprose@mecon.gov.ar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after="0" w:line="240" w:lineRule="auto"/>
        <w:jc w:val="both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after="0" w:line="240" w:lineRule="auto"/>
        <w:jc w:val="both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after="0" w:line="240" w:lineRule="auto"/>
        <w:jc w:val="both"/>
        <w:rPr>
          <w:b w:val="1"/>
          <w:color w:val="000000"/>
          <w:u w:val="single"/>
        </w:rPr>
      </w:pPr>
      <w:r w:rsidDel="00000000" w:rsidR="00000000" w:rsidRPr="00000000">
        <w:rPr>
          <w:b w:val="1"/>
          <w:color w:val="000000"/>
          <w:u w:val="single"/>
          <w:rtl w:val="0"/>
        </w:rPr>
        <w:t xml:space="preserve">Proceso de presentación a la convocatoria</w:t>
      </w:r>
    </w:p>
    <w:p w:rsidR="00000000" w:rsidDel="00000000" w:rsidP="00000000" w:rsidRDefault="00000000" w:rsidRPr="00000000" w14:paraId="00000057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color w:val="000000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La presente convocatoria se compone de </w:t>
      </w:r>
      <w:r w:rsidDel="00000000" w:rsidR="00000000" w:rsidRPr="00000000">
        <w:rPr>
          <w:b w:val="1"/>
          <w:rtl w:val="0"/>
        </w:rPr>
        <w:t xml:space="preserve">tres etapas</w:t>
      </w:r>
      <w:r w:rsidDel="00000000" w:rsidR="00000000" w:rsidRPr="00000000">
        <w:rPr>
          <w:rtl w:val="0"/>
        </w:rPr>
        <w:t xml:space="preserve"> que se detallan a continuación: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numPr>
          <w:ilvl w:val="0"/>
          <w:numId w:val="1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Primera etapa: Llenado del formulario de propuesta de inversión y presentación formal.</w:t>
      </w:r>
      <w:r w:rsidDel="00000000" w:rsidR="00000000" w:rsidRPr="00000000">
        <w:rPr>
          <w:color w:val="000000"/>
          <w:rtl w:val="0"/>
        </w:rPr>
        <w:t xml:space="preserve"> </w:t>
      </w:r>
    </w:p>
    <w:p w:rsidR="00000000" w:rsidDel="00000000" w:rsidP="00000000" w:rsidRDefault="00000000" w:rsidRPr="00000000" w14:paraId="0000005A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Las propuestas de inversión serán formuladas por los solicitantes y deberán cumplir con los siguientes requisitos formales para su admisión y evaluación: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numPr>
          <w:ilvl w:val="0"/>
          <w:numId w:val="21"/>
        </w:numPr>
        <w:spacing w:after="0" w:line="240" w:lineRule="auto"/>
        <w:ind w:left="195" w:firstLine="0"/>
        <w:jc w:val="both"/>
        <w:rPr>
          <w:color w:val="000000"/>
        </w:rPr>
      </w:pPr>
      <w:r w:rsidDel="00000000" w:rsidR="00000000" w:rsidRPr="00000000">
        <w:rPr>
          <w:rtl w:val="0"/>
        </w:rPr>
        <w:t xml:space="preserve">Guardar pertinencia con el objetivo de la convocatoria e insertarse dentro de la línea de ANR establecida.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numPr>
          <w:ilvl w:val="0"/>
          <w:numId w:val="21"/>
        </w:numPr>
        <w:spacing w:after="0" w:line="240" w:lineRule="auto"/>
        <w:ind w:left="195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Presentar la propuesta de inversión en el formulario completo específico de la línea de ANR simple.</w:t>
      </w:r>
    </w:p>
    <w:p w:rsidR="00000000" w:rsidDel="00000000" w:rsidP="00000000" w:rsidRDefault="00000000" w:rsidRPr="00000000" w14:paraId="0000005D">
      <w:pPr>
        <w:numPr>
          <w:ilvl w:val="0"/>
          <w:numId w:val="21"/>
        </w:numPr>
        <w:spacing w:after="0" w:line="240" w:lineRule="auto"/>
        <w:ind w:left="195" w:firstLine="0"/>
        <w:jc w:val="both"/>
        <w:rPr>
          <w:color w:val="000000"/>
        </w:rPr>
      </w:pPr>
      <w:r w:rsidDel="00000000" w:rsidR="00000000" w:rsidRPr="00000000">
        <w:rPr>
          <w:rtl w:val="0"/>
        </w:rPr>
        <w:t xml:space="preserve"> En los formularios se deberá volcar la información requerida correctamente, de acuerdo a lo solicitado en cada punto.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numPr>
          <w:ilvl w:val="0"/>
          <w:numId w:val="23"/>
        </w:numPr>
        <w:spacing w:after="0" w:line="240" w:lineRule="auto"/>
        <w:ind w:left="195" w:firstLine="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Será imprescindible la inclusión en el apartado correspondiente del formulario, del listado detallado de las inversiones a realizar, el que deberá incluir su especificación técnica. </w:t>
      </w:r>
    </w:p>
    <w:p w:rsidR="00000000" w:rsidDel="00000000" w:rsidP="00000000" w:rsidRDefault="00000000" w:rsidRPr="00000000" w14:paraId="0000005F">
      <w:pPr>
        <w:numPr>
          <w:ilvl w:val="0"/>
          <w:numId w:val="23"/>
        </w:numPr>
        <w:spacing w:after="0" w:line="240" w:lineRule="auto"/>
        <w:ind w:left="195" w:firstLine="0"/>
        <w:jc w:val="both"/>
        <w:rPr>
          <w:color w:val="000000"/>
        </w:rPr>
      </w:pPr>
      <w:bookmarkStart w:colFirst="0" w:colLast="0" w:name="_heading=h.30j0zll" w:id="1"/>
      <w:bookmarkEnd w:id="1"/>
      <w:r w:rsidDel="00000000" w:rsidR="00000000" w:rsidRPr="00000000">
        <w:rPr>
          <w:color w:val="000000"/>
          <w:rtl w:val="0"/>
        </w:rPr>
        <w:t xml:space="preserve">Acompañar las propuestas de inversión con </w:t>
      </w:r>
      <w:r w:rsidDel="00000000" w:rsidR="00000000" w:rsidRPr="00000000">
        <w:rPr>
          <w:b w:val="1"/>
          <w:color w:val="000000"/>
          <w:rtl w:val="0"/>
        </w:rPr>
        <w:t xml:space="preserve">tres presupuestos</w:t>
      </w:r>
      <w:r w:rsidDel="00000000" w:rsidR="00000000" w:rsidRPr="00000000">
        <w:rPr>
          <w:color w:val="000000"/>
          <w:rtl w:val="0"/>
        </w:rPr>
        <w:t xml:space="preserve"> </w:t>
      </w:r>
      <w:r w:rsidDel="00000000" w:rsidR="00000000" w:rsidRPr="00000000">
        <w:rPr>
          <w:b w:val="1"/>
          <w:color w:val="000000"/>
          <w:rtl w:val="0"/>
        </w:rPr>
        <w:t xml:space="preserve">comparables</w:t>
      </w:r>
      <w:r w:rsidDel="00000000" w:rsidR="00000000" w:rsidRPr="00000000">
        <w:rPr>
          <w:color w:val="000000"/>
          <w:rtl w:val="0"/>
        </w:rPr>
        <w:t xml:space="preserve"> de cada una de las inversiones incluidas en la propuesta. La adjudicación del gasto deberá ser al presupuesto de menor cotización obtenida   . Los presupuestos para ser válidos deberán estar fechados y contener información del proveedor (cuit, dirección y teléfono de contacto) y del solicitante (nombre, cuit, condición ante el IVA) importes discriminados del IVA en caso de responsable inscripto y estar firmados por el proveedor.  Cada presupuesto deberá ser acompañado con la constancia de inscripción vigente ante AFIP del proveedor. </w:t>
      </w:r>
    </w:p>
    <w:p w:rsidR="00000000" w:rsidDel="00000000" w:rsidP="00000000" w:rsidRDefault="00000000" w:rsidRPr="00000000" w14:paraId="00000060">
      <w:pPr>
        <w:numPr>
          <w:ilvl w:val="0"/>
          <w:numId w:val="23"/>
        </w:numPr>
        <w:spacing w:after="0" w:line="240" w:lineRule="auto"/>
        <w:ind w:left="195" w:firstLine="0"/>
        <w:jc w:val="both"/>
        <w:rPr/>
      </w:pPr>
      <w:r w:rsidDel="00000000" w:rsidR="00000000" w:rsidRPr="00000000">
        <w:rPr>
          <w:rtl w:val="0"/>
        </w:rPr>
        <w:t xml:space="preserve">El formulario se deberá acompañar con toda la documentación solicitada en el apartado “</w:t>
      </w:r>
      <w:r w:rsidDel="00000000" w:rsidR="00000000" w:rsidRPr="00000000">
        <w:rPr>
          <w:b w:val="1"/>
          <w:rtl w:val="0"/>
        </w:rPr>
        <w:t xml:space="preserve">A) Documentación a presentar</w:t>
      </w:r>
      <w:r w:rsidDel="00000000" w:rsidR="00000000" w:rsidRPr="00000000">
        <w:rPr>
          <w:rtl w:val="0"/>
        </w:rPr>
        <w:t xml:space="preserve">”, que se encuentra debajo, según se trate de personas humanas o jurídicas, y toda aquella que se considere relevante agregar para la comprensión del impacto de la inversión proyectada.</w:t>
      </w:r>
    </w:p>
    <w:p w:rsidR="00000000" w:rsidDel="00000000" w:rsidP="00000000" w:rsidRDefault="00000000" w:rsidRPr="00000000" w14:paraId="00000061">
      <w:pPr>
        <w:numPr>
          <w:ilvl w:val="0"/>
          <w:numId w:val="6"/>
        </w:numPr>
        <w:spacing w:after="0" w:line="240" w:lineRule="auto"/>
        <w:ind w:left="195" w:firstLine="0"/>
        <w:jc w:val="both"/>
        <w:rPr>
          <w:color w:val="000000"/>
        </w:rPr>
      </w:pPr>
      <w:r w:rsidDel="00000000" w:rsidR="00000000" w:rsidRPr="00000000">
        <w:rPr>
          <w:rtl w:val="0"/>
        </w:rPr>
        <w:t xml:space="preserve">Presentar en tiempo y forma (entre apertura y cierre de la convocatoria) el formulario debidamente cumplimentado.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numPr>
          <w:ilvl w:val="0"/>
          <w:numId w:val="6"/>
        </w:numPr>
        <w:spacing w:after="0" w:line="240" w:lineRule="auto"/>
        <w:ind w:left="195" w:firstLine="0"/>
        <w:jc w:val="both"/>
        <w:rPr>
          <w:color w:val="000000"/>
        </w:rPr>
      </w:pPr>
      <w:r w:rsidDel="00000000" w:rsidR="00000000" w:rsidRPr="00000000">
        <w:rPr>
          <w:rtl w:val="0"/>
        </w:rPr>
        <w:t xml:space="preserve">El formulario </w:t>
      </w:r>
      <w:r w:rsidDel="00000000" w:rsidR="00000000" w:rsidRPr="00000000">
        <w:rPr>
          <w:color w:val="000000"/>
          <w:rtl w:val="0"/>
        </w:rPr>
        <w:t xml:space="preserve">deberá ser impreso y firmado donde se indica,   por la máxima autoridad de la entidad solicitante o administradora, escaneado y enviado en formato  pdf al igual que el resto de la documentación vía correo electrónico. </w:t>
      </w:r>
    </w:p>
    <w:p w:rsidR="00000000" w:rsidDel="00000000" w:rsidP="00000000" w:rsidRDefault="00000000" w:rsidRPr="00000000" w14:paraId="00000063">
      <w:pPr>
        <w:spacing w:after="0" w:line="240" w:lineRule="auto"/>
        <w:ind w:left="195" w:firstLine="360"/>
        <w:jc w:val="both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spacing w:after="0" w:line="240" w:lineRule="auto"/>
        <w:ind w:left="195" w:firstLine="360"/>
        <w:jc w:val="both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spacing w:after="0" w:line="240" w:lineRule="auto"/>
        <w:ind w:left="195" w:firstLine="360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b w:val="1"/>
          <w:color w:val="000000"/>
          <w:u w:val="single"/>
          <w:rtl w:val="0"/>
        </w:rPr>
        <w:t xml:space="preserve">A): Documentación a presentar</w:t>
      </w:r>
      <w:r w:rsidDel="00000000" w:rsidR="00000000" w:rsidRPr="00000000">
        <w:rPr>
          <w:color w:val="000000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spacing w:after="0" w:line="240" w:lineRule="auto"/>
        <w:ind w:firstLine="705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spacing w:after="0" w:line="240" w:lineRule="auto"/>
        <w:ind w:firstLine="705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Personas Humanas</w:t>
      </w: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numPr>
          <w:ilvl w:val="0"/>
          <w:numId w:val="11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Copia del DNI., L.E. o L.C. según corresponda.</w:t>
      </w:r>
    </w:p>
    <w:p w:rsidR="00000000" w:rsidDel="00000000" w:rsidP="00000000" w:rsidRDefault="00000000" w:rsidRPr="00000000" w14:paraId="00000069">
      <w:pPr>
        <w:numPr>
          <w:ilvl w:val="0"/>
          <w:numId w:val="15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Constancia de inscripción vigente ante la AFIP. </w:t>
      </w:r>
    </w:p>
    <w:p w:rsidR="00000000" w:rsidDel="00000000" w:rsidP="00000000" w:rsidRDefault="00000000" w:rsidRPr="00000000" w14:paraId="0000006A">
      <w:pPr>
        <w:numPr>
          <w:ilvl w:val="0"/>
          <w:numId w:val="18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En el caso de responsables de Monotributo o inscriptos en el registro de efectores, copia del último pago realizado. </w:t>
      </w:r>
    </w:p>
    <w:p w:rsidR="00000000" w:rsidDel="00000000" w:rsidP="00000000" w:rsidRDefault="00000000" w:rsidRPr="00000000" w14:paraId="0000006B">
      <w:pPr>
        <w:numPr>
          <w:ilvl w:val="0"/>
          <w:numId w:val="1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En caso de tributar Impuesto a las Ganancias, presentar la última Declaración Jurada. </w:t>
      </w:r>
    </w:p>
    <w:p w:rsidR="00000000" w:rsidDel="00000000" w:rsidP="00000000" w:rsidRDefault="00000000" w:rsidRPr="00000000" w14:paraId="0000006C">
      <w:pPr>
        <w:numPr>
          <w:ilvl w:val="0"/>
          <w:numId w:val="3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Documentación respaldatoria de la tenencia de la tierra (escritura, contrato de alquiler – siempre y cuando dicho contrato tenga un período de vigencia superior a 5 años contados a partir del momento de realizar la inversión -, comodato, etc.). </w:t>
      </w:r>
    </w:p>
    <w:p w:rsidR="00000000" w:rsidDel="00000000" w:rsidP="00000000" w:rsidRDefault="00000000" w:rsidRPr="00000000" w14:paraId="0000006D">
      <w:pPr>
        <w:numPr>
          <w:ilvl w:val="0"/>
          <w:numId w:val="12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En caso de ser productor primario, documentación que lo acredite (RENSPA o equivalente)</w:t>
      </w:r>
    </w:p>
    <w:p w:rsidR="00000000" w:rsidDel="00000000" w:rsidP="00000000" w:rsidRDefault="00000000" w:rsidRPr="00000000" w14:paraId="0000006E">
      <w:pPr>
        <w:numPr>
          <w:ilvl w:val="0"/>
          <w:numId w:val="16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Certificado PYME </w:t>
      </w:r>
    </w:p>
    <w:p w:rsidR="00000000" w:rsidDel="00000000" w:rsidP="00000000" w:rsidRDefault="00000000" w:rsidRPr="00000000" w14:paraId="0000006F">
      <w:pPr>
        <w:spacing w:after="0" w:line="240" w:lineRule="auto"/>
        <w:ind w:firstLine="705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spacing w:after="0" w:line="240" w:lineRule="auto"/>
        <w:ind w:firstLine="705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spacing w:after="0" w:line="240" w:lineRule="auto"/>
        <w:ind w:firstLine="705"/>
        <w:jc w:val="both"/>
        <w:rPr/>
      </w:pPr>
      <w:r w:rsidDel="00000000" w:rsidR="00000000" w:rsidRPr="00000000">
        <w:rPr>
          <w:b w:val="1"/>
          <w:rtl w:val="0"/>
        </w:rPr>
        <w:t xml:space="preserve">Personas Jurídicas</w:t>
      </w:r>
      <w:r w:rsidDel="00000000" w:rsidR="00000000" w:rsidRPr="00000000">
        <w:rPr>
          <w:rtl w:val="0"/>
        </w:rPr>
        <w:t xml:space="preserve"> </w:t>
      </w:r>
    </w:p>
    <w:p w:rsidR="00000000" w:rsidDel="00000000" w:rsidP="00000000" w:rsidRDefault="00000000" w:rsidRPr="00000000" w14:paraId="00000072">
      <w:pPr>
        <w:spacing w:after="0" w:line="240" w:lineRule="auto"/>
        <w:ind w:firstLine="705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numPr>
          <w:ilvl w:val="0"/>
          <w:numId w:val="1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Empresas o entidades ya constituidas: Copia del Estatuto o Contrato Social con la inscripción en el registro público correspondiente a su jurisdicción, última Acta de Asamblea, Directorio o Reunión de Socios, que se encuentre vigente, de la cual surja la distribución de cargos del Órgano de Administración de la Sociedad con su inscripción en el registro público correspondiente a su jurisdicción y, certificada por Escribano Público. Si la presentación es firmada por apoderado, copia del poder vigente que acredite tal condición, y que detenta facultades suficientes para el acto, certificada por Escribano Público. </w:t>
      </w:r>
    </w:p>
    <w:p w:rsidR="00000000" w:rsidDel="00000000" w:rsidP="00000000" w:rsidRDefault="00000000" w:rsidRPr="00000000" w14:paraId="00000074">
      <w:pPr>
        <w:numPr>
          <w:ilvl w:val="0"/>
          <w:numId w:val="1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Constancia de inscripción vigente ante la AFIP.  </w:t>
      </w:r>
    </w:p>
    <w:p w:rsidR="00000000" w:rsidDel="00000000" w:rsidP="00000000" w:rsidRDefault="00000000" w:rsidRPr="00000000" w14:paraId="00000075">
      <w:pPr>
        <w:numPr>
          <w:ilvl w:val="0"/>
          <w:numId w:val="1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Ultima declaración jurada del impuesto a las ganancias. </w:t>
      </w:r>
    </w:p>
    <w:p w:rsidR="00000000" w:rsidDel="00000000" w:rsidP="00000000" w:rsidRDefault="00000000" w:rsidRPr="00000000" w14:paraId="00000076">
      <w:pPr>
        <w:numPr>
          <w:ilvl w:val="0"/>
          <w:numId w:val="1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Documentación respaldatoria de la tenencia de la tierra (escritura, contrato de alquiler – siempre y cuando dicho contrato tenga un período de validez superior a 5 años contados a partir del momento de realizar la inversión -, comodato, etc.). </w:t>
      </w:r>
    </w:p>
    <w:p w:rsidR="00000000" w:rsidDel="00000000" w:rsidP="00000000" w:rsidRDefault="00000000" w:rsidRPr="00000000" w14:paraId="00000077">
      <w:pPr>
        <w:numPr>
          <w:ilvl w:val="0"/>
          <w:numId w:val="1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Certificado PYME. </w:t>
      </w:r>
    </w:p>
    <w:p w:rsidR="00000000" w:rsidDel="00000000" w:rsidP="00000000" w:rsidRDefault="00000000" w:rsidRPr="00000000" w14:paraId="0000007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firstLine="0"/>
        <w:jc w:val="both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numPr>
          <w:ilvl w:val="0"/>
          <w:numId w:val="1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Segunda etapa: Evaluación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firstLine="0"/>
        <w:jc w:val="both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  </w:t>
      </w:r>
      <w:r w:rsidDel="00000000" w:rsidR="00000000" w:rsidRPr="00000000">
        <w:rPr>
          <w:color w:val="000000"/>
          <w:rtl w:val="0"/>
        </w:rPr>
        <w:t xml:space="preserve"> </w:t>
      </w:r>
    </w:p>
    <w:p w:rsidR="00000000" w:rsidDel="00000000" w:rsidP="00000000" w:rsidRDefault="00000000" w:rsidRPr="00000000" w14:paraId="0000007B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Todas las propuestas de inversión serán analizadas y evaluadas por el Equipo de Servicios Financieros y ANR perteneciente a Competitividad, con la asistencia de la Unidad de Gestión Ambiental y Social (UGAS) de ser necesario. </w:t>
      </w:r>
    </w:p>
    <w:p w:rsidR="00000000" w:rsidDel="00000000" w:rsidP="00000000" w:rsidRDefault="00000000" w:rsidRPr="00000000" w14:paraId="0000007C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Se evaluará el cumplimiento de los requisitos formales solicitados en “</w:t>
      </w:r>
      <w:r w:rsidDel="00000000" w:rsidR="00000000" w:rsidRPr="00000000">
        <w:rPr>
          <w:b w:val="1"/>
          <w:rtl w:val="0"/>
        </w:rPr>
        <w:t xml:space="preserve">1 -</w:t>
      </w: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b w:val="1"/>
          <w:rtl w:val="0"/>
        </w:rPr>
        <w:t xml:space="preserve">Primera etapa: Llenado del formulario de propuesta de inversión y presentación formal”</w:t>
      </w:r>
      <w:r w:rsidDel="00000000" w:rsidR="00000000" w:rsidRPr="00000000">
        <w:rPr>
          <w:rtl w:val="0"/>
        </w:rPr>
        <w:t xml:space="preserve"> del Proceso de presentación a la convocatoria.  </w:t>
      </w:r>
    </w:p>
    <w:p w:rsidR="00000000" w:rsidDel="00000000" w:rsidP="00000000" w:rsidRDefault="00000000" w:rsidRPr="00000000" w14:paraId="0000007E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Luego las propuestas de inversión serán evaluadas técnicamente según los criterios de elegibilidad: correspondencia entre la inversión y los objetivos de la convocatoria, incremento a lograr en eficiencia de riego y sustitución por energía limpia,   dimensionamiento   de la inversión, sostenibilidad, y resultados esperados.</w:t>
      </w:r>
    </w:p>
    <w:p w:rsidR="00000000" w:rsidDel="00000000" w:rsidP="00000000" w:rsidRDefault="00000000" w:rsidRPr="00000000" w14:paraId="00000080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Las propuestas de inversión recibirán un dictamen de elegibilidad favorable o desfavorable. Este dictamen será comunicado de manera fehaciente al solicitante vía correo electrónico.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Las propuestas de inversión con dictamen de elegibilidad desfavorable podrán ser re-evaluadas a solicitud formal del titular de la propuesta. El plazo para solicitar una re-evaluación es de 10 (diez) días corridos a partir de la comunicación vía correo electrónico del dictamen desfavorable de la propuesta de inversión.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numPr>
          <w:ilvl w:val="0"/>
          <w:numId w:val="1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b w:val="1"/>
          <w:color w:val="000000"/>
          <w:rtl w:val="0"/>
        </w:rPr>
        <w:t xml:space="preserve">Tercera etapa: comunicación del dictamen de elegibilidad</w:t>
      </w:r>
      <w:r w:rsidDel="00000000" w:rsidR="00000000" w:rsidRPr="00000000">
        <w:rPr>
          <w:color w:val="000000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spacing w:after="0" w:line="240" w:lineRule="auto"/>
        <w:ind w:left="705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spacing w:after="0" w:line="240" w:lineRule="auto"/>
        <w:ind w:left="60" w:firstLine="0"/>
        <w:jc w:val="both"/>
        <w:rPr/>
      </w:pPr>
      <w:r w:rsidDel="00000000" w:rsidR="00000000" w:rsidRPr="00000000">
        <w:rPr>
          <w:rtl w:val="0"/>
        </w:rPr>
        <w:t xml:space="preserve">Una vez finalizada la Etapa de Evaluación de cada propuesta se comunicará al beneficiario de la propuesta de inversión con elegibilidad favorable y se tramitará la disposición que adjudica el ANR/contrato </w:t>
      </w:r>
    </w:p>
    <w:p w:rsidR="00000000" w:rsidDel="00000000" w:rsidP="00000000" w:rsidRDefault="00000000" w:rsidRPr="00000000" w14:paraId="00000089">
      <w:pPr>
        <w:spacing w:after="0" w:line="240" w:lineRule="auto"/>
        <w:ind w:left="60" w:firstLine="0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spacing w:after="0" w:line="240" w:lineRule="auto"/>
        <w:jc w:val="both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b w:val="1"/>
          <w:u w:val="single"/>
          <w:rtl w:val="0"/>
        </w:rPr>
        <w:t xml:space="preserve">Reconocimiento de Gastos</w:t>
      </w: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A partir de la fecha de elegibilidad con dictamen favorable, podrán reconocerse los gastos efectuados, sujetos a la disposición de aprobación de la Propuesta de Inversión por parte Director General de la DIPROSE para la adjudicación del ANR.  </w:t>
      </w:r>
    </w:p>
    <w:p w:rsidR="00000000" w:rsidDel="00000000" w:rsidP="00000000" w:rsidRDefault="00000000" w:rsidRPr="00000000" w14:paraId="0000008D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spacing w:after="0" w:line="240" w:lineRule="auto"/>
        <w:jc w:val="both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spacing w:after="0" w:line="240" w:lineRule="auto"/>
        <w:jc w:val="both"/>
        <w:rPr>
          <w:b w:val="1"/>
          <w:color w:val="000000"/>
          <w:u w:val="single"/>
        </w:rPr>
      </w:pPr>
      <w:r w:rsidDel="00000000" w:rsidR="00000000" w:rsidRPr="00000000">
        <w:rPr>
          <w:b w:val="1"/>
          <w:color w:val="000000"/>
          <w:u w:val="single"/>
          <w:rtl w:val="0"/>
        </w:rPr>
        <w:t xml:space="preserve">Requisitos para el pago</w:t>
      </w:r>
    </w:p>
    <w:p w:rsidR="00000000" w:rsidDel="00000000" w:rsidP="00000000" w:rsidRDefault="00000000" w:rsidRPr="00000000" w14:paraId="00000090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color w:val="000000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El Sector ANR comunicará a los solicitantes de ANR con dictamen de elegibilidad favorable la Disposición DIPROSE que aprueba el mismo, otorgando un plazo de hasta cuarenta y cinco (45) días corridos, contados a partir de la comunicación, para la firma del contrato que regula la percepción del ANR, su ejecución y posterior rendición. </w:t>
      </w:r>
    </w:p>
    <w:p w:rsidR="00000000" w:rsidDel="00000000" w:rsidP="00000000" w:rsidRDefault="00000000" w:rsidRPr="00000000" w14:paraId="00000092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El contrato regulatorio será firmado entre la DIPROSE y el solicitante devenido en beneficiario, el cual contendrá toda la información necesaria para la ejecución y rendición de la Propuesta de Inversión de manera directa en el texto del contrato o como anexo al mismo. Por su parte, la rendición de gastos deberá realizarse de acuerdo a procedimientos contenidos en un Manual que será entregado a los beneficiarios al momento de la firma del contrato. El análisis de la rendición de gastos estará a cargo de profesionales del Sector ANR. </w:t>
      </w:r>
    </w:p>
    <w:p w:rsidR="00000000" w:rsidDel="00000000" w:rsidP="00000000" w:rsidRDefault="00000000" w:rsidRPr="00000000" w14:paraId="00000094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El ANR se efectivizará bajo algunas de las siguientes modalidades: </w:t>
      </w:r>
    </w:p>
    <w:p w:rsidR="00000000" w:rsidDel="00000000" w:rsidP="00000000" w:rsidRDefault="00000000" w:rsidRPr="00000000" w14:paraId="00000096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numPr>
          <w:ilvl w:val="0"/>
          <w:numId w:val="7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Pago complementario al proveedor del beneficiario una vez que este justifique el pago de la proporción que le corresponde. </w:t>
      </w:r>
    </w:p>
    <w:p w:rsidR="00000000" w:rsidDel="00000000" w:rsidP="00000000" w:rsidRDefault="00000000" w:rsidRPr="00000000" w14:paraId="00000098">
      <w:pPr>
        <w:numPr>
          <w:ilvl w:val="0"/>
          <w:numId w:val="13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Reembolso de pagos efectivamente realizados, si el beneficiario pagó el 100% de la inversión y se hayan constatado los productos verificables. </w:t>
      </w:r>
    </w:p>
    <w:p w:rsidR="00000000" w:rsidDel="00000000" w:rsidP="00000000" w:rsidRDefault="00000000" w:rsidRPr="00000000" w14:paraId="00000099">
      <w:p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Los fondos se transferirán al beneficiario/proveedor de acuerdo a las presentaciones periódicas que realice el beneficiario en función del cumplimiento del programa de desembolsos y lo dispuesto en el Contrato.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color w:val="000000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spacing w:after="0" w:line="240" w:lineRule="auto"/>
        <w:jc w:val="both"/>
        <w:rPr/>
      </w:pPr>
      <w:r w:rsidDel="00000000" w:rsidR="00000000" w:rsidRPr="00000000">
        <w:rPr>
          <w:b w:val="1"/>
          <w:u w:val="single"/>
          <w:rtl w:val="0"/>
        </w:rPr>
        <w:t xml:space="preserve">Causales de baja automática</w:t>
      </w:r>
      <w:r w:rsidDel="00000000" w:rsidR="00000000" w:rsidRPr="00000000">
        <w:rPr>
          <w:rtl w:val="0"/>
        </w:rPr>
        <w:t xml:space="preserve"> </w:t>
      </w:r>
    </w:p>
    <w:p w:rsidR="00000000" w:rsidDel="00000000" w:rsidP="00000000" w:rsidRDefault="00000000" w:rsidRPr="00000000" w14:paraId="0000009D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La solicitud del ANR, así como el contrato serán automáticamente cancelados por los siguientes motivos: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numPr>
          <w:ilvl w:val="0"/>
          <w:numId w:val="22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La no suscripción del contrato por parte del solicitante transcurrido el plazo de cuarenta y cinco (45) días corridos.  </w:t>
      </w:r>
    </w:p>
    <w:p w:rsidR="00000000" w:rsidDel="00000000" w:rsidP="00000000" w:rsidRDefault="00000000" w:rsidRPr="00000000" w14:paraId="000000A0">
      <w:pPr>
        <w:numPr>
          <w:ilvl w:val="0"/>
          <w:numId w:val="22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La no rendición de la propuesta de inversión en tiempo y forma, habiendo transcurrido el plazo establecido en el contrato, sin que se haya solicitado prórroga. </w:t>
      </w:r>
    </w:p>
    <w:p w:rsidR="00000000" w:rsidDel="00000000" w:rsidP="00000000" w:rsidRDefault="00000000" w:rsidRPr="00000000" w14:paraId="000000A1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spacing w:after="0" w:line="240" w:lineRule="auto"/>
        <w:jc w:val="both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spacing w:after="0" w:line="240" w:lineRule="auto"/>
        <w:jc w:val="both"/>
        <w:rPr/>
      </w:pPr>
      <w:r w:rsidDel="00000000" w:rsidR="00000000" w:rsidRPr="00000000">
        <w:rPr>
          <w:b w:val="1"/>
          <w:u w:val="single"/>
          <w:rtl w:val="0"/>
        </w:rPr>
        <w:t xml:space="preserve">Consideraciones generales </w:t>
      </w:r>
      <w:r w:rsidDel="00000000" w:rsidR="00000000" w:rsidRPr="00000000">
        <w:rPr>
          <w:rtl w:val="0"/>
        </w:rPr>
        <w:t xml:space="preserve"> </w:t>
      </w:r>
    </w:p>
    <w:p w:rsidR="00000000" w:rsidDel="00000000" w:rsidP="00000000" w:rsidRDefault="00000000" w:rsidRPr="00000000" w14:paraId="000000A4">
      <w:pPr>
        <w:spacing w:after="0" w:line="240" w:lineRule="auto"/>
        <w:jc w:val="both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numPr>
          <w:ilvl w:val="0"/>
          <w:numId w:val="4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El Sector ANR, realizará aleatoriamente auditorías técnicas concurrentes de forma presencial o a distancia de verificación de la ejecución de las inversiones aprobadas. </w:t>
      </w:r>
    </w:p>
    <w:p w:rsidR="00000000" w:rsidDel="00000000" w:rsidP="00000000" w:rsidRDefault="00000000" w:rsidRPr="00000000" w14:paraId="000000A6">
      <w:pPr>
        <w:numPr>
          <w:ilvl w:val="0"/>
          <w:numId w:val="4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En caso de incumplimiento de cualquiera de los puntos del contrato, la DIPROSE procederá al cese del apoyo financiero. Las penalidades se consignarán en el contrato respectivo. </w:t>
      </w:r>
    </w:p>
    <w:p w:rsidR="00000000" w:rsidDel="00000000" w:rsidP="00000000" w:rsidRDefault="00000000" w:rsidRPr="00000000" w14:paraId="000000A7">
      <w:pPr>
        <w:numPr>
          <w:ilvl w:val="0"/>
          <w:numId w:val="4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Los bienes adquiridos serán propiedad de los beneficiarios, quienes se comprometerán a no enajenarlos por un período de al menos cuarenta y ocho meses (48) desde el cobro del ANR.  </w:t>
      </w:r>
    </w:p>
    <w:p w:rsidR="00000000" w:rsidDel="00000000" w:rsidP="00000000" w:rsidRDefault="00000000" w:rsidRPr="00000000" w14:paraId="000000A8">
      <w:pPr>
        <w:numPr>
          <w:ilvl w:val="0"/>
          <w:numId w:val="4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En caso que, como resultado de una Propuesta de Inversión, surja la posibilidad de solicitud u obtención de una patente de invención, la propuesta deberá incluir el correspondiente convenio de propiedad intelectual.  </w:t>
      </w:r>
    </w:p>
    <w:p w:rsidR="00000000" w:rsidDel="00000000" w:rsidP="00000000" w:rsidRDefault="00000000" w:rsidRPr="00000000" w14:paraId="000000A9">
      <w:pPr>
        <w:numPr>
          <w:ilvl w:val="0"/>
          <w:numId w:val="4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Los emprendimientos podrán ser difundidos a través de medios de comunicación públicos o privados.  </w:t>
      </w:r>
    </w:p>
    <w:p w:rsidR="00000000" w:rsidDel="00000000" w:rsidP="00000000" w:rsidRDefault="00000000" w:rsidRPr="00000000" w14:paraId="000000AA">
      <w:pPr>
        <w:numPr>
          <w:ilvl w:val="0"/>
          <w:numId w:val="10"/>
        </w:numPr>
        <w:spacing w:after="0" w:lin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Todas las comunicaciones formales que se intercambien entre la DIPROSE y los solicitantes de ANR serán realizadas vía correo electrónico, pudiendo también ser contactados telefónicamente para cubrir otras inquietudes. </w:t>
      </w:r>
    </w:p>
    <w:p w:rsidR="00000000" w:rsidDel="00000000" w:rsidP="00000000" w:rsidRDefault="00000000" w:rsidRPr="00000000" w14:paraId="000000AB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DATOS DE CONTACTO (cualquier consulta contáctese con nosotros)</w:t>
      </w: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Servicios Financieros del Equipo Desarrollo Competitivo</w:t>
      </w: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Programa de Servicios Agrícolas Provinciales</w:t>
      </w:r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Mail:</w:t>
      </w:r>
      <w:r w:rsidDel="00000000" w:rsidR="00000000" w:rsidRPr="00000000">
        <w:rPr>
          <w:rtl w:val="0"/>
        </w:rPr>
        <w:t xml:space="preserve"> </w:t>
      </w:r>
      <w:hyperlink r:id="rId7">
        <w:r w:rsidDel="00000000" w:rsidR="00000000" w:rsidRPr="00000000">
          <w:rPr>
            <w:b w:val="1"/>
            <w:color w:val="0000ff"/>
            <w:u w:val="single"/>
            <w:rtl w:val="0"/>
          </w:rPr>
          <w:t xml:space="preserve">servfinancierosdiprose@mecon.gov.ar</w:t>
        </w:r>
      </w:hyperlink>
      <w:r w:rsidDel="00000000" w:rsidR="00000000" w:rsidRPr="00000000">
        <w:rPr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spacing w:after="0" w:line="240" w:lineRule="auto"/>
        <w:jc w:val="both"/>
        <w:rPr>
          <w:rFonts w:ascii="Quattrocento Sans" w:cs="Quattrocento Sans" w:eastAsia="Quattrocento Sans" w:hAnsi="Quattrocento Sans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Cel.: (11) 54849857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6838" w:w="11906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  <w:font w:name="Quattrocen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>
        <w:color w:val="000000"/>
        <w:rtl w:val="0"/>
      </w:rPr>
      <w:t xml:space="preserve">        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240665</wp:posOffset>
          </wp:positionH>
          <wp:positionV relativeFrom="paragraph">
            <wp:posOffset>0</wp:posOffset>
          </wp:positionV>
          <wp:extent cx="1385570" cy="580390"/>
          <wp:effectExtent b="0" l="0" r="0" t="0"/>
          <wp:wrapSquare wrapText="bothSides" distB="0" distT="0" distL="114300" distR="114300"/>
          <wp:docPr descr="C:\Users\Luli\Downloads\Zócalos programas + logo MAGyP\Programas\11_PROSAP\1_PNG\1_Color.png" id="2" name="image1.png"/>
          <a:graphic>
            <a:graphicData uri="http://schemas.openxmlformats.org/drawingml/2006/picture">
              <pic:pic>
                <pic:nvPicPr>
                  <pic:cNvPr descr="C:\Users\Luli\Downloads\Zócalos programas + logo MAGyP\Programas\11_PROSAP\1_PNG\1_Color.png" id="0" name="image1.png"/>
                  <pic:cNvPicPr preferRelativeResize="0"/>
                </pic:nvPicPr>
                <pic:blipFill>
                  <a:blip r:embed="rId1"/>
                  <a:srcRect b="16766" l="4472" r="73315" t="25749"/>
                  <a:stretch>
                    <a:fillRect/>
                  </a:stretch>
                </pic:blipFill>
                <pic:spPr>
                  <a:xfrm>
                    <a:off x="0" y="0"/>
                    <a:ext cx="1385570" cy="58039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2591610</wp:posOffset>
          </wp:positionH>
          <wp:positionV relativeFrom="paragraph">
            <wp:posOffset>-236881</wp:posOffset>
          </wp:positionV>
          <wp:extent cx="3030220" cy="622935"/>
          <wp:effectExtent b="0" l="0" r="0" t="0"/>
          <wp:wrapSquare wrapText="bothSides" distB="0" distT="0" distL="114300" distR="114300"/>
          <wp:docPr descr="https://lh3.googleusercontent.com/w07qFkihEEUhJC_ryBMVP3RamlUtHUKZu2DtqET-YyBjjXDCzqlevFgYTHxCBJ7qYoCxAN_1poUVbPZPujeP6Dy-p53Ye8LI-jzlFHg9DgEagnS-SwTVHu8gHnmSnPsk4M2Fyjz3GHu1fI7AF6ZbBQ" id="1" name="image2.png"/>
          <a:graphic>
            <a:graphicData uri="http://schemas.openxmlformats.org/drawingml/2006/picture">
              <pic:pic>
                <pic:nvPicPr>
                  <pic:cNvPr descr="https://lh3.googleusercontent.com/w07qFkihEEUhJC_ryBMVP3RamlUtHUKZu2DtqET-YyBjjXDCzqlevFgYTHxCBJ7qYoCxAN_1poUVbPZPujeP6Dy-p53Ye8LI-jzlFHg9DgEagnS-SwTVHu8gHnmSnPsk4M2Fyjz3GHu1fI7AF6ZbBQ"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030220" cy="62293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B2">
    <w:pPr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4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63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35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07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79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51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23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495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67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39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3">
    <w:lvl w:ilvl="0">
      <w:start w:val="5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5">
    <w:lvl w:ilvl="0">
      <w:start w:val="1"/>
      <w:numFmt w:val="lowerLetter"/>
      <w:lvlText w:val="%1."/>
      <w:lvlJc w:val="left"/>
      <w:pPr>
        <w:ind w:left="720" w:hanging="360"/>
      </w:pPr>
      <w:rPr>
        <w:rFonts w:ascii="Calibri" w:cs="Calibri" w:eastAsia="Calibri" w:hAnsi="Calibri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7">
    <w:lvl w:ilvl="0">
      <w:start w:val="1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11">
    <w:lvl w:ilvl="0">
      <w:start w:val="1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12">
    <w:lvl w:ilvl="0">
      <w:start w:val="6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13">
    <w:lvl w:ilvl="0">
      <w:start w:val="2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14">
    <w:lvl w:ilvl="0">
      <w:start w:val="1"/>
      <w:numFmt w:val="decimal"/>
      <w:lvlText w:val="%1."/>
      <w:lvlJc w:val="left"/>
      <w:pPr>
        <w:ind w:left="720" w:hanging="360"/>
      </w:pPr>
      <w:rPr>
        <w:b w:val="1"/>
      </w:rPr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15">
    <w:lvl w:ilvl="0">
      <w:start w:val="2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16">
    <w:lvl w:ilvl="0">
      <w:start w:val="8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17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8">
    <w:lvl w:ilvl="0">
      <w:start w:val="3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Letter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Letter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19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20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upperRoman"/>
      <w:lvlText w:val="%2)"/>
      <w:lvlJc w:val="left"/>
      <w:pPr>
        <w:ind w:left="1800" w:hanging="72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)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2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2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2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E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3.xml"/><Relationship Id="rId10" Type="http://schemas.openxmlformats.org/officeDocument/2006/relationships/header" Target="header2.xml"/><Relationship Id="rId13" Type="http://schemas.openxmlformats.org/officeDocument/2006/relationships/footer" Target="footer1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servfinancierosdiprose@mecon.gov.ar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QuattrocentoSans-regular.ttf"/><Relationship Id="rId2" Type="http://schemas.openxmlformats.org/officeDocument/2006/relationships/font" Target="fonts/QuattrocentoSans-bold.ttf"/><Relationship Id="rId3" Type="http://schemas.openxmlformats.org/officeDocument/2006/relationships/font" Target="fonts/QuattrocentoSans-italic.ttf"/><Relationship Id="rId4" Type="http://schemas.openxmlformats.org/officeDocument/2006/relationships/font" Target="fonts/QuattrocentoSans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5RPnmk4VxlV2+nLBOhUCyAPGqNA==">CgMxLjAyCGguZ2pkZ3hzMgloLjMwajB6bGw4AHIhMUFDUm9NcU1OVVhkVEhXNkFZVkNoUWU3cEhtQUVweFNv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