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3" w:rsidRPr="00F57E0B" w:rsidRDefault="006A189D" w:rsidP="00F855B3">
      <w:pPr>
        <w:pStyle w:val="Sinespaciado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 w:rsidR="00A537C0">
        <w:rPr>
          <w:u w:val="single"/>
        </w:rPr>
        <w:t>301</w:t>
      </w:r>
    </w:p>
    <w:p w:rsidR="00F855B3" w:rsidRPr="00F57E0B" w:rsidRDefault="00F855B3" w:rsidP="00F855B3">
      <w:pPr>
        <w:pStyle w:val="Sinespaciado"/>
        <w:rPr>
          <w:b/>
          <w:bCs/>
          <w:smallCaps/>
        </w:rPr>
      </w:pPr>
    </w:p>
    <w:p w:rsidR="00F855B3" w:rsidRPr="00F57E0B" w:rsidRDefault="00F855B3" w:rsidP="00F855B3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A537C0">
        <w:t xml:space="preserve"> 30</w:t>
      </w:r>
      <w:r w:rsidRPr="00F57E0B">
        <w:t>/0</w:t>
      </w:r>
      <w:r w:rsidR="00A537C0">
        <w:t>4</w:t>
      </w:r>
      <w:r w:rsidR="00BB4B82">
        <w:t>/2020</w:t>
      </w:r>
    </w:p>
    <w:p w:rsidR="00F855B3" w:rsidRPr="00F57E0B" w:rsidRDefault="00F855B3" w:rsidP="00F855B3">
      <w:pPr>
        <w:pStyle w:val="Sinespaciado"/>
        <w:jc w:val="both"/>
        <w:rPr>
          <w:b/>
          <w:bCs/>
          <w:smallCaps/>
        </w:rPr>
      </w:pPr>
    </w:p>
    <w:p w:rsidR="00F855B3" w:rsidRPr="00F57E0B" w:rsidRDefault="00F855B3" w:rsidP="00F855B3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 w:rsidR="00B25F8E">
        <w:rPr>
          <w:lang w:val="es-AR"/>
        </w:rPr>
        <w:t>a 1302, piso 4to, oficina 400, CABA.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F855B3" w:rsidRPr="00F57E0B" w:rsidRDefault="00F855B3" w:rsidP="008D3927">
      <w:pPr>
        <w:pStyle w:val="Prrafodelista"/>
        <w:numPr>
          <w:ilvl w:val="0"/>
          <w:numId w:val="12"/>
        </w:numPr>
        <w:ind w:left="1776" w:hanging="360"/>
        <w:jc w:val="both"/>
      </w:pPr>
      <w:r w:rsidRPr="00F57E0B">
        <w:t xml:space="preserve">Directores titulares: </w:t>
      </w:r>
      <w:r w:rsidR="000F2B65">
        <w:t>Martí</w:t>
      </w:r>
      <w:r w:rsidR="00BB4B82">
        <w:t>n Fabio Marinucci</w:t>
      </w:r>
      <w:r w:rsidRPr="00F57E0B">
        <w:t xml:space="preserve">, </w:t>
      </w:r>
      <w:r w:rsidR="00BB4B82">
        <w:t xml:space="preserve">Rubén Darío Golía y Sandra </w:t>
      </w:r>
      <w:r w:rsidR="006A7053">
        <w:t xml:space="preserve">Marcela </w:t>
      </w:r>
      <w:r w:rsidR="00BB4B82">
        <w:t>Mayol.</w:t>
      </w:r>
      <w:r w:rsidRPr="00F57E0B">
        <w:t xml:space="preserve"> </w:t>
      </w:r>
    </w:p>
    <w:p w:rsidR="00644CBD" w:rsidRPr="00A537C0" w:rsidRDefault="00644CBD" w:rsidP="00F855B3">
      <w:pPr>
        <w:pStyle w:val="Prrafodelista"/>
        <w:numPr>
          <w:ilvl w:val="0"/>
          <w:numId w:val="13"/>
        </w:numPr>
        <w:ind w:left="1776" w:hanging="360"/>
        <w:jc w:val="both"/>
        <w:rPr>
          <w:rFonts w:eastAsia="Trebuchet MS Bold"/>
          <w:b/>
          <w:bCs/>
          <w:smallCaps/>
        </w:rPr>
      </w:pPr>
      <w:r>
        <w:t>Jefe de Gabinete: Marcelo Díaz.</w:t>
      </w:r>
    </w:p>
    <w:p w:rsidR="00A537C0" w:rsidRPr="002F03F1" w:rsidRDefault="00A537C0" w:rsidP="00A537C0">
      <w:pPr>
        <w:pStyle w:val="Prrafodelista"/>
        <w:numPr>
          <w:ilvl w:val="0"/>
          <w:numId w:val="13"/>
        </w:numPr>
        <w:ind w:left="1776" w:hanging="360"/>
        <w:jc w:val="both"/>
        <w:rPr>
          <w:rFonts w:eastAsia="Trebuchet MS Bold"/>
          <w:b/>
          <w:bCs/>
          <w:smallCaps/>
        </w:rPr>
      </w:pPr>
      <w:r>
        <w:t>Secretaría General: Fabián R. González.</w:t>
      </w:r>
    </w:p>
    <w:p w:rsidR="002F03F1" w:rsidRPr="00BB7A7F" w:rsidRDefault="002F03F1" w:rsidP="002F03F1">
      <w:pPr>
        <w:pStyle w:val="Prrafodelista"/>
        <w:numPr>
          <w:ilvl w:val="0"/>
          <w:numId w:val="13"/>
        </w:numPr>
        <w:ind w:left="1776" w:hanging="360"/>
        <w:jc w:val="both"/>
        <w:rPr>
          <w:rFonts w:eastAsia="Trebuchet MS Bold"/>
          <w:b/>
          <w:bCs/>
          <w:smallCaps/>
        </w:rPr>
      </w:pPr>
      <w:r w:rsidRPr="00F57E0B">
        <w:t xml:space="preserve">Miembro de la Comisión Fiscalizadora: </w:t>
      </w:r>
      <w:r>
        <w:t>Axel Germán Martin.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bookmarkStart w:id="0" w:name="_GoBack"/>
      <w:bookmarkEnd w:id="0"/>
      <w:r w:rsidRPr="00F57E0B">
        <w:rPr>
          <w:b/>
          <w:bCs/>
          <w:smallCaps/>
        </w:rPr>
        <w:t xml:space="preserve">Orden del día: </w:t>
      </w:r>
    </w:p>
    <w:p w:rsidR="00CD3486" w:rsidRPr="00F57E0B" w:rsidRDefault="00D00875" w:rsidP="00F57E0B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EX 201</w:t>
      </w:r>
      <w:r w:rsidR="00684890">
        <w:rPr>
          <w:b/>
          <w:bCs/>
          <w:u w:val="single"/>
        </w:rPr>
        <w:t>9</w:t>
      </w:r>
      <w:r w:rsidR="003909B1">
        <w:rPr>
          <w:b/>
          <w:bCs/>
          <w:u w:val="single"/>
        </w:rPr>
        <w:t>-</w:t>
      </w:r>
      <w:r w:rsidR="00A537C0">
        <w:rPr>
          <w:b/>
          <w:bCs/>
          <w:u w:val="single"/>
        </w:rPr>
        <w:t>02933215</w:t>
      </w:r>
      <w:r w:rsidR="003909B1">
        <w:rPr>
          <w:b/>
          <w:bCs/>
          <w:u w:val="single"/>
        </w:rPr>
        <w:t>-APN-SG#SOFSE</w:t>
      </w:r>
      <w:r w:rsidR="00A537C0">
        <w:rPr>
          <w:b/>
          <w:bCs/>
          <w:u w:val="single"/>
        </w:rPr>
        <w:t xml:space="preserve"> </w:t>
      </w:r>
      <w:r w:rsidR="000C0C70">
        <w:rPr>
          <w:b/>
          <w:bCs/>
          <w:u w:val="single"/>
        </w:rPr>
        <w:t>–</w:t>
      </w:r>
      <w:r w:rsidR="003909B1">
        <w:rPr>
          <w:b/>
          <w:bCs/>
          <w:u w:val="single"/>
        </w:rPr>
        <w:t xml:space="preserve"> </w:t>
      </w:r>
      <w:r w:rsidR="00A537C0">
        <w:rPr>
          <w:b/>
          <w:bCs/>
          <w:u w:val="single"/>
        </w:rPr>
        <w:t xml:space="preserve">RC 31218 </w:t>
      </w:r>
      <w:r w:rsidR="003909B1">
        <w:rPr>
          <w:b/>
          <w:bCs/>
          <w:u w:val="single"/>
        </w:rPr>
        <w:t xml:space="preserve">– </w:t>
      </w:r>
      <w:r w:rsidR="00A537C0">
        <w:rPr>
          <w:b/>
          <w:bCs/>
          <w:u w:val="single"/>
        </w:rPr>
        <w:t>ADQUISICIÓN DE TIRAFONDOS Y BULONES PARA MANT</w:t>
      </w:r>
      <w:r w:rsidR="000C0C70">
        <w:rPr>
          <w:b/>
          <w:bCs/>
          <w:u w:val="single"/>
        </w:rPr>
        <w:t>ENIMIENTO Y OBRAS DE VÍA – AMBA –</w:t>
      </w:r>
      <w:r w:rsidR="00A537C0">
        <w:rPr>
          <w:b/>
          <w:bCs/>
          <w:u w:val="single"/>
        </w:rPr>
        <w:t xml:space="preserve"> LARGA DISTANCIA Y REGIONALES </w:t>
      </w:r>
      <w:r w:rsidR="000C0C70">
        <w:rPr>
          <w:b/>
          <w:bCs/>
          <w:u w:val="single"/>
        </w:rPr>
        <w:t>–</w:t>
      </w:r>
      <w:r w:rsidR="00684890">
        <w:rPr>
          <w:b/>
          <w:bCs/>
          <w:u w:val="single"/>
        </w:rPr>
        <w:t xml:space="preserve"> ADJUDICACION</w:t>
      </w:r>
      <w:r w:rsidR="00F855B3" w:rsidRPr="00F57E0B">
        <w:rPr>
          <w:b/>
          <w:bCs/>
          <w:u w:val="single"/>
        </w:rPr>
        <w:t>.</w:t>
      </w:r>
    </w:p>
    <w:p w:rsidR="0019400F" w:rsidRDefault="00F855B3" w:rsidP="0019400F">
      <w:pPr>
        <w:pStyle w:val="Prrafodelista"/>
        <w:ind w:left="1776"/>
        <w:jc w:val="both"/>
      </w:pPr>
      <w:r w:rsidRPr="00F57E0B">
        <w:t xml:space="preserve">El Directorio en </w:t>
      </w:r>
      <w:r w:rsidR="003909B1">
        <w:t>forma unánime resuelve</w:t>
      </w:r>
      <w:r w:rsidR="00813CC7">
        <w:t>:</w:t>
      </w:r>
      <w:r w:rsidR="00B8156A">
        <w:t xml:space="preserve"> </w:t>
      </w:r>
      <w:r w:rsidR="00813CC7">
        <w:t xml:space="preserve">1. Declarar desiertos los renglones Nro. 111, 112, 113, 132 y 135 por no haberse recibido ofertas; 2. Declarar fracasados los renglones Nro. 1 </w:t>
      </w:r>
      <w:r w:rsidR="00AE0FC7">
        <w:t xml:space="preserve">al </w:t>
      </w:r>
      <w:r w:rsidR="00813CC7">
        <w:t>6, 34, 35, 45, 46, 47, 48, 49, 50, 51, 61, 63, 65, 67, 70</w:t>
      </w:r>
      <w:r w:rsidR="00EF16EF">
        <w:t>, 72, 74, 75, 76, 83, 84, 93 al</w:t>
      </w:r>
      <w:r w:rsidR="00813CC7">
        <w:t xml:space="preserve"> 98, 101, 104, 106, 109, 114, 116, 133, 134, 136, 142, 145 y 147 por no haberse recibido ofertas convenientes y/o admisible; 3. Desestimar la oferta de la firma GRUPO ACEROSLAN S.A. por resultar formal y técnicamente inadmisible. 4. Desestimar la oferta de la firma AVM S.R.L por resultar formal y técnicamente inadmisible. 5. Declarar inconveniente </w:t>
      </w:r>
      <w:r w:rsidR="00EF16EF">
        <w:t xml:space="preserve">a los intereses de SOFSE </w:t>
      </w:r>
      <w:r w:rsidR="00813CC7">
        <w:t xml:space="preserve">la oferta de la firma N. FERRARIS S.A. en los renglones 34; 85;  114; 115; 120; 148; 155 y 156 en razón del precio cotizado. 6. Declarar inconveniente </w:t>
      </w:r>
      <w:r w:rsidR="00EF16EF">
        <w:t xml:space="preserve">a los intereses de SOFSE </w:t>
      </w:r>
      <w:r w:rsidR="00813CC7">
        <w:t>la oferta de la firma BENEDETTI S.A.I.C en los renglones 34; 114 en razón del precio cotizado.</w:t>
      </w:r>
      <w:r w:rsidR="0019400F">
        <w:t xml:space="preserve"> 7. Aprobar el orden de mérito propuesto por l</w:t>
      </w:r>
      <w:r w:rsidR="009320BD">
        <w:t>a C</w:t>
      </w:r>
      <w:r w:rsidR="0019400F">
        <w:t xml:space="preserve">omisión </w:t>
      </w:r>
      <w:r w:rsidR="009320BD">
        <w:t>E</w:t>
      </w:r>
      <w:r w:rsidR="0019400F">
        <w:t xml:space="preserve">valuadora. 8. </w:t>
      </w:r>
      <w:r w:rsidR="00813CC7">
        <w:t xml:space="preserve">Adjudicar a favor de la firma </w:t>
      </w:r>
      <w:r w:rsidR="0019400F">
        <w:t xml:space="preserve">N. FERRARIS S.A. </w:t>
      </w:r>
      <w:r w:rsidR="00813CC7">
        <w:t xml:space="preserve"> </w:t>
      </w:r>
      <w:proofErr w:type="gramStart"/>
      <w:r w:rsidR="009320BD">
        <w:t>l</w:t>
      </w:r>
      <w:r w:rsidR="0019400F">
        <w:t>os</w:t>
      </w:r>
      <w:proofErr w:type="gramEnd"/>
      <w:r w:rsidR="0019400F">
        <w:t xml:space="preserve"> renglones Nro. 24, </w:t>
      </w:r>
      <w:r w:rsidR="00EF16EF">
        <w:t>26, 27, 28, 52, 53, 55 al</w:t>
      </w:r>
      <w:r w:rsidR="0019400F">
        <w:t xml:space="preserve"> 59, 69, 79, 80, 81, 87, 92, 100, 102, 107, 118, 121, 138, 139, 140, 143, 149, 153 y 157 por resultar la oferta formal y técnicamente admisible</w:t>
      </w:r>
      <w:r w:rsidR="00EF16EF">
        <w:t>, así como también económicamente conveniente y razonable</w:t>
      </w:r>
      <w:r w:rsidR="0019400F">
        <w:t xml:space="preserve">. 9. </w:t>
      </w:r>
      <w:r w:rsidR="00EF16EF">
        <w:t>Adjudicar a favor de la firma BENEDETTI SAIC los renglones 7 al</w:t>
      </w:r>
      <w:r w:rsidR="00114A06">
        <w:t xml:space="preserve"> </w:t>
      </w:r>
      <w:r w:rsidR="00EF16EF">
        <w:t>23; 29 al</w:t>
      </w:r>
      <w:r w:rsidR="00114A06">
        <w:t xml:space="preserve"> </w:t>
      </w:r>
      <w:r w:rsidR="00EF16EF">
        <w:t xml:space="preserve">33; 35 al 44; 62; 66; 71; 77; 85; 86; 88 al 91; 103; 108; 115; 117; 119; 120; 122 al 131; 144; 148; 150; 151; 155; 156; 158; 160 y 161 por resultar la oferta formal y técnicamente admisible, así como también económicamente conveniente y razonable. 10. </w:t>
      </w:r>
      <w:r w:rsidR="0019400F">
        <w:t>Adjudicar a favor de la firma CONTISUR S.A. los renglones Nro. 25, 54, 60, 64, 68, 73, 78, 82, 99, 105, 110, 137, 141, 146, 152, 154 Y 159  por resultar la oferta formal y técnicamente admisible</w:t>
      </w:r>
      <w:r w:rsidR="00EF16EF">
        <w:t>, así como también económicamente conveniente y razonable</w:t>
      </w:r>
      <w:r w:rsidR="0019400F">
        <w:t>.</w:t>
      </w:r>
      <w:r w:rsidR="00114A06">
        <w:t xml:space="preserve"> 11</w:t>
      </w:r>
      <w:r w:rsidR="00212DEB">
        <w:t>.</w:t>
      </w:r>
      <w:r w:rsidR="00E23DED">
        <w:t xml:space="preserve"> </w:t>
      </w:r>
      <w:r w:rsidR="00212DEB">
        <w:t xml:space="preserve">Rechazar la presentación efectuada por la firma GRUPO ACEROSLAN S.A. e instruir a la Gerencia de Compras a tomar intervención de su competencia en relación a las sanciones de las que podría ser pasible el oferente en virtud </w:t>
      </w:r>
      <w:r w:rsidR="00212DEB">
        <w:lastRenderedPageBreak/>
        <w:t>de las considerac</w:t>
      </w:r>
      <w:r w:rsidR="009320BD">
        <w:t>iones de la Comisión Evaluadora y de la Gerencia de Asuntos Jurídicos, Ética y Transparencia.</w:t>
      </w:r>
    </w:p>
    <w:p w:rsidR="003909B1" w:rsidRPr="00EC7520" w:rsidRDefault="00A537C0" w:rsidP="00212DEB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TRE-SOF-SOFS-0006471/2016</w:t>
      </w:r>
      <w:r w:rsidRPr="00EC7520">
        <w:rPr>
          <w:b/>
          <w:bCs/>
          <w:u w:val="single"/>
        </w:rPr>
        <w:t xml:space="preserve"> </w:t>
      </w:r>
      <w:r w:rsidR="00D00875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PUESTA EN VALOR INTEGRAL DE ESTACION CONSTITUCION – REDETERMINACION DE PRECIOS.</w:t>
      </w:r>
    </w:p>
    <w:p w:rsidR="00EC7520" w:rsidRPr="00FD2A8C" w:rsidRDefault="00FD2A8C" w:rsidP="00FD2A8C">
      <w:pPr>
        <w:pStyle w:val="Prrafodelista"/>
        <w:ind w:left="1776"/>
        <w:jc w:val="both"/>
      </w:pPr>
      <w:r w:rsidRPr="00F57E0B">
        <w:t xml:space="preserve">El Directorio en </w:t>
      </w:r>
      <w:r w:rsidR="00A537C0">
        <w:t xml:space="preserve">forma unánime resuelve </w:t>
      </w:r>
      <w:r w:rsidR="00212DEB">
        <w:t>aprobar a favor de RIVA S.A. la re determinación de precios Nro. 6, 7 y 8 para la obra original; y la re determin</w:t>
      </w:r>
      <w:r w:rsidR="00247767">
        <w:t>aciones nro. 4, 5, 6, 7 y 8 de</w:t>
      </w:r>
      <w:r w:rsidR="00212DEB">
        <w:t xml:space="preserve"> la </w:t>
      </w:r>
      <w:r w:rsidR="00247767">
        <w:t xml:space="preserve">segunda </w:t>
      </w:r>
      <w:r w:rsidR="00397BBD">
        <w:t>ampliación de la obra.</w:t>
      </w:r>
    </w:p>
    <w:p w:rsidR="00EC7520" w:rsidRDefault="00A537C0" w:rsidP="00DD1920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TRE-SOF-SOFS-0001855/2018</w:t>
      </w:r>
      <w:r w:rsidRPr="00EC7520">
        <w:rPr>
          <w:b/>
          <w:bCs/>
          <w:u w:val="single"/>
        </w:rPr>
        <w:t xml:space="preserve"> </w:t>
      </w:r>
      <w:r w:rsidR="003909B1" w:rsidRPr="00EC7520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OBRA DE PLAYA DE MANIOBRAS COCHES ELECTRICOS/DIESEL TALLERES J.L. SUAREZ</w:t>
      </w:r>
      <w:r w:rsidR="008743DA">
        <w:rPr>
          <w:b/>
          <w:bCs/>
          <w:u w:val="single"/>
        </w:rPr>
        <w:t>. REDETERMINACION DE PRECIOS</w:t>
      </w:r>
      <w:r w:rsidR="00D00875">
        <w:rPr>
          <w:b/>
          <w:bCs/>
          <w:u w:val="single"/>
        </w:rPr>
        <w:t>.</w:t>
      </w:r>
    </w:p>
    <w:p w:rsidR="00AB3891" w:rsidRDefault="00AB3891" w:rsidP="00AB3891">
      <w:pPr>
        <w:pStyle w:val="Prrafodelista"/>
        <w:ind w:left="1776"/>
        <w:jc w:val="both"/>
      </w:pPr>
      <w:r w:rsidRPr="00F57E0B">
        <w:t xml:space="preserve">El Directorio en </w:t>
      </w:r>
      <w:r>
        <w:t xml:space="preserve">forma unánime </w:t>
      </w:r>
      <w:r w:rsidR="00D00875">
        <w:t>resuelve</w:t>
      </w:r>
      <w:r w:rsidR="009420F1">
        <w:t xml:space="preserve"> </w:t>
      </w:r>
      <w:r w:rsidR="00686ACA">
        <w:t>aprobar</w:t>
      </w:r>
      <w:r w:rsidR="009360BE">
        <w:t xml:space="preserve"> </w:t>
      </w:r>
      <w:r w:rsidR="009420F1">
        <w:t xml:space="preserve">a favor de </w:t>
      </w:r>
      <w:r w:rsidR="00212DEB">
        <w:t xml:space="preserve">INDUVIA </w:t>
      </w:r>
      <w:r w:rsidR="009420F1">
        <w:t>S.A.</w:t>
      </w:r>
      <w:r w:rsidR="00CC1090">
        <w:t xml:space="preserve"> la re</w:t>
      </w:r>
      <w:r w:rsidR="00A537C0">
        <w:t xml:space="preserve">determinación de precios Nro. </w:t>
      </w:r>
      <w:r w:rsidR="00212DEB">
        <w:t>1 y 2</w:t>
      </w:r>
      <w:r w:rsidR="00CC1090">
        <w:t>.</w:t>
      </w:r>
    </w:p>
    <w:p w:rsidR="00EC7520" w:rsidRPr="00AB3891" w:rsidRDefault="00EC7520" w:rsidP="00AB3891">
      <w:pPr>
        <w:rPr>
          <w:b/>
          <w:bCs/>
          <w:u w:val="single"/>
          <w:lang w:val="es-AR"/>
        </w:rPr>
      </w:pPr>
    </w:p>
    <w:p w:rsidR="003909B1" w:rsidRPr="00EC7520" w:rsidRDefault="00D00875" w:rsidP="00DD1920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 w:rsidRPr="00EC7520">
        <w:rPr>
          <w:b/>
          <w:bCs/>
          <w:u w:val="single"/>
        </w:rPr>
        <w:t>EX 20</w:t>
      </w:r>
      <w:r w:rsidR="006A62B1">
        <w:rPr>
          <w:b/>
          <w:bCs/>
          <w:u w:val="single"/>
        </w:rPr>
        <w:t>20</w:t>
      </w:r>
      <w:r w:rsidRPr="00EC7520">
        <w:rPr>
          <w:b/>
          <w:bCs/>
          <w:u w:val="single"/>
        </w:rPr>
        <w:t>-</w:t>
      </w:r>
      <w:r w:rsidR="00FB3D17">
        <w:rPr>
          <w:b/>
          <w:bCs/>
          <w:u w:val="single"/>
        </w:rPr>
        <w:t>13643499</w:t>
      </w:r>
      <w:r w:rsidRPr="00EC7520">
        <w:rPr>
          <w:b/>
          <w:bCs/>
          <w:u w:val="single"/>
        </w:rPr>
        <w:t xml:space="preserve">-APN-SG#SOFSE </w:t>
      </w:r>
      <w:r w:rsidR="00FB3D17">
        <w:rPr>
          <w:b/>
          <w:bCs/>
          <w:u w:val="single"/>
        </w:rPr>
        <w:t>– SERVICIO</w:t>
      </w:r>
      <w:r w:rsidR="001C0C66" w:rsidRPr="00EC7520">
        <w:rPr>
          <w:b/>
          <w:bCs/>
          <w:u w:val="single"/>
        </w:rPr>
        <w:t xml:space="preserve"> </w:t>
      </w:r>
      <w:r w:rsidR="006A62B1">
        <w:rPr>
          <w:b/>
          <w:bCs/>
          <w:u w:val="single"/>
        </w:rPr>
        <w:t>MANTENIMIENTO DEL SISTEMA TETRA (RADIOS) – INDRA SI S.A. (</w:t>
      </w:r>
      <w:r w:rsidR="00FB3D17">
        <w:rPr>
          <w:b/>
          <w:bCs/>
          <w:u w:val="single"/>
        </w:rPr>
        <w:t>ENERO</w:t>
      </w:r>
      <w:r w:rsidR="006A62B1">
        <w:rPr>
          <w:b/>
          <w:bCs/>
          <w:u w:val="single"/>
        </w:rPr>
        <w:t xml:space="preserve"> 20</w:t>
      </w:r>
      <w:r w:rsidR="00FB3D17">
        <w:rPr>
          <w:b/>
          <w:bCs/>
          <w:u w:val="single"/>
        </w:rPr>
        <w:t>20</w:t>
      </w:r>
      <w:r w:rsidR="006A62B1">
        <w:rPr>
          <w:b/>
          <w:bCs/>
          <w:u w:val="single"/>
        </w:rPr>
        <w:t>) - AUTORIZACION DE PAGO</w:t>
      </w:r>
      <w:r w:rsidR="003909B1" w:rsidRPr="00EC7520">
        <w:rPr>
          <w:b/>
          <w:bCs/>
          <w:u w:val="single"/>
        </w:rPr>
        <w:t>.</w:t>
      </w:r>
    </w:p>
    <w:p w:rsidR="00EC7520" w:rsidRDefault="00606306" w:rsidP="00606306">
      <w:pPr>
        <w:ind w:left="1775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</w:pPr>
      <w:r w:rsidRPr="00606306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El Directorio en forma unánime resuelve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</w:t>
      </w:r>
      <w:r w:rsidR="00686ACA" w:rsidRPr="00686ACA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aprobar</w:t>
      </w:r>
      <w:r w:rsidR="00686ACA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</w:t>
      </w:r>
      <w:r w:rsidR="009420F1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a favor </w:t>
      </w:r>
      <w:r w:rsidR="006A62B1" w:rsidRPr="006A62B1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INDRA SI S.A</w:t>
      </w:r>
      <w:r w:rsidR="009420F1" w:rsidRPr="009420F1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.</w:t>
      </w:r>
      <w:r w:rsidR="00686ACA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</w:t>
      </w:r>
      <w:r w:rsidR="009360BE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el pago </w:t>
      </w:r>
      <w:r w:rsidR="00686ACA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correspondiente al servicio de </w:t>
      </w:r>
      <w:r w:rsidR="009360BE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mantenimiento del sistema TETRA (radios) para el período enero 2020.</w:t>
      </w:r>
    </w:p>
    <w:p w:rsidR="00606306" w:rsidRPr="00606306" w:rsidRDefault="00606306" w:rsidP="00606306">
      <w:pPr>
        <w:ind w:left="1775"/>
        <w:jc w:val="both"/>
        <w:rPr>
          <w:rFonts w:eastAsia="Trebuchet MS Bold"/>
          <w:b/>
          <w:bCs/>
          <w:u w:val="single"/>
          <w:lang w:val="es-AR"/>
        </w:rPr>
      </w:pPr>
    </w:p>
    <w:p w:rsidR="00E70633" w:rsidRDefault="00E70633" w:rsidP="00E70633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b/>
          <w:bCs/>
          <w:u w:val="single"/>
        </w:rPr>
      </w:pPr>
      <w:r>
        <w:rPr>
          <w:b/>
          <w:bCs/>
          <w:u w:val="single"/>
        </w:rPr>
        <w:t>EX 2020-</w:t>
      </w:r>
      <w:r w:rsidR="00FB3D17">
        <w:rPr>
          <w:b/>
          <w:bCs/>
          <w:u w:val="single"/>
        </w:rPr>
        <w:t>13643638</w:t>
      </w:r>
      <w:r>
        <w:rPr>
          <w:b/>
          <w:bCs/>
          <w:u w:val="single"/>
        </w:rPr>
        <w:t xml:space="preserve">-APN-SG#SOFSE  SERVICIO DE </w:t>
      </w:r>
      <w:r w:rsidR="00FB3D17">
        <w:rPr>
          <w:b/>
          <w:bCs/>
          <w:u w:val="single"/>
        </w:rPr>
        <w:t xml:space="preserve">MANTENIMIENTO Y OPERATIVIDAD DE SISTEMAS CCTV 01/01/2020 – 31/01/2020 – CAS TECNOLOGÍA Y SEGURIDAD S.R.L. </w:t>
      </w:r>
      <w:r>
        <w:rPr>
          <w:b/>
          <w:bCs/>
          <w:u w:val="single"/>
        </w:rPr>
        <w:t xml:space="preserve"> </w:t>
      </w:r>
      <w:r w:rsidR="00FB3D17">
        <w:rPr>
          <w:b/>
          <w:bCs/>
          <w:u w:val="single"/>
        </w:rPr>
        <w:t xml:space="preserve">- </w:t>
      </w:r>
      <w:r>
        <w:rPr>
          <w:b/>
          <w:bCs/>
          <w:u w:val="single"/>
        </w:rPr>
        <w:t>AUTORIZACION DE PAGO</w:t>
      </w:r>
      <w:r w:rsidRPr="00EC7520">
        <w:rPr>
          <w:b/>
          <w:bCs/>
          <w:u w:val="single"/>
        </w:rPr>
        <w:t>.</w:t>
      </w:r>
    </w:p>
    <w:p w:rsidR="00EC7520" w:rsidRDefault="00606306" w:rsidP="00EC7520">
      <w:pPr>
        <w:pStyle w:val="Cuerpo"/>
        <w:spacing w:after="240"/>
        <w:ind w:left="1775"/>
        <w:jc w:val="both"/>
      </w:pPr>
      <w:r w:rsidRPr="00F57E0B">
        <w:t xml:space="preserve">El Directorio en </w:t>
      </w:r>
      <w:r>
        <w:t xml:space="preserve">forma unánime resuelve </w:t>
      </w:r>
      <w:r w:rsidR="00686ACA" w:rsidRPr="00686ACA">
        <w:t>aprobar</w:t>
      </w:r>
      <w:r w:rsidR="00E70633">
        <w:t xml:space="preserve"> </w:t>
      </w:r>
      <w:r w:rsidR="00910B58">
        <w:t xml:space="preserve">a favor de </w:t>
      </w:r>
      <w:r w:rsidR="00FB3D17" w:rsidRPr="00FB3D17">
        <w:t>CAS TECNOLOGÍA Y SEGURIDAD S.R.L</w:t>
      </w:r>
      <w:r w:rsidR="00E70633">
        <w:t>.</w:t>
      </w:r>
      <w:r w:rsidR="00686ACA">
        <w:t xml:space="preserve"> </w:t>
      </w:r>
      <w:r w:rsidR="006F669C">
        <w:t>los pagos correspondientes al servicio de mantenimiento y operatividad de Sistemas Dinámico y Estático de CCTV de los servicios de Larga Distancia, utilizados</w:t>
      </w:r>
      <w:r w:rsidR="00BE00F1">
        <w:t xml:space="preserve"> durante el período 1 al 31 de enero de 2020.</w:t>
      </w:r>
    </w:p>
    <w:p w:rsidR="00D67F71" w:rsidRPr="00D67F71" w:rsidRDefault="00D67F71" w:rsidP="0029033D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EX 2020-</w:t>
      </w:r>
      <w:r w:rsidR="00877291">
        <w:rPr>
          <w:b/>
          <w:bCs/>
          <w:u w:val="single"/>
        </w:rPr>
        <w:t>15317133</w:t>
      </w:r>
      <w:r>
        <w:rPr>
          <w:b/>
          <w:bCs/>
          <w:u w:val="single"/>
        </w:rPr>
        <w:t>-APN-SG#SOFSE</w:t>
      </w:r>
      <w:r w:rsidR="00822F18">
        <w:rPr>
          <w:b/>
          <w:bCs/>
          <w:u w:val="single"/>
        </w:rPr>
        <w:t xml:space="preserve"> </w:t>
      </w:r>
      <w:r w:rsidRPr="00EC7520">
        <w:rPr>
          <w:b/>
          <w:bCs/>
          <w:u w:val="single"/>
        </w:rPr>
        <w:t xml:space="preserve">– </w:t>
      </w:r>
      <w:r w:rsidR="00877291">
        <w:rPr>
          <w:b/>
          <w:bCs/>
          <w:u w:val="single"/>
        </w:rPr>
        <w:t xml:space="preserve">ALQUILER DE BAÑOS QUIMICOS – MARZO  A JULIO 2019 </w:t>
      </w:r>
      <w:r w:rsidR="00BC44AC">
        <w:rPr>
          <w:b/>
          <w:bCs/>
          <w:u w:val="single"/>
        </w:rPr>
        <w:t xml:space="preserve">- </w:t>
      </w:r>
      <w:r w:rsidR="00877291">
        <w:rPr>
          <w:b/>
          <w:bCs/>
          <w:u w:val="single"/>
        </w:rPr>
        <w:t xml:space="preserve">HAMIT S.A. </w:t>
      </w:r>
      <w:r>
        <w:rPr>
          <w:b/>
          <w:bCs/>
          <w:u w:val="single"/>
        </w:rPr>
        <w:t>– AUTORIZACION DE PAGO.</w:t>
      </w:r>
    </w:p>
    <w:p w:rsidR="00CC1090" w:rsidRDefault="00CC1090" w:rsidP="00CC1090">
      <w:pPr>
        <w:pStyle w:val="Cuerpo"/>
        <w:spacing w:after="240"/>
        <w:ind w:left="1776"/>
        <w:jc w:val="both"/>
      </w:pPr>
      <w:r w:rsidRPr="00F57E0B">
        <w:t xml:space="preserve">El Directorio en </w:t>
      </w:r>
      <w:r>
        <w:t xml:space="preserve">forma unánime resuelve </w:t>
      </w:r>
      <w:r w:rsidR="00686ACA" w:rsidRPr="00686ACA">
        <w:t xml:space="preserve">aprobar </w:t>
      </w:r>
      <w:r>
        <w:t xml:space="preserve">a favor de </w:t>
      </w:r>
      <w:r w:rsidR="00877291" w:rsidRPr="00877291">
        <w:t>HAMIT S.A.</w:t>
      </w:r>
      <w:r w:rsidR="00C11E0E">
        <w:t xml:space="preserve"> </w:t>
      </w:r>
      <w:r w:rsidR="006F669C">
        <w:t xml:space="preserve">el pago </w:t>
      </w:r>
      <w:r w:rsidR="00C11E0E">
        <w:t>correspondiente al</w:t>
      </w:r>
      <w:r w:rsidR="006F669C">
        <w:t xml:space="preserve"> servicio de </w:t>
      </w:r>
      <w:r w:rsidR="006F669C" w:rsidRPr="006F669C">
        <w:t>alquiler de baños químicos</w:t>
      </w:r>
      <w:r w:rsidR="006F669C">
        <w:t xml:space="preserve"> </w:t>
      </w:r>
      <w:r w:rsidR="00BC44AC">
        <w:t>durante los meses de marzo a jun</w:t>
      </w:r>
      <w:r w:rsidR="006F669C">
        <w:t>io 201</w:t>
      </w:r>
      <w:r w:rsidR="00BC44AC">
        <w:t>9, conforme lo informado por las áreas técnicas intervinientes.</w:t>
      </w:r>
    </w:p>
    <w:p w:rsidR="00D67F71" w:rsidRDefault="00822F18" w:rsidP="0029033D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rFonts w:eastAsia="Trebuchet MS Bold"/>
          <w:b/>
          <w:bCs/>
          <w:u w:val="single"/>
        </w:rPr>
        <w:t>EX -2020-</w:t>
      </w:r>
      <w:r w:rsidR="00D24203">
        <w:rPr>
          <w:rFonts w:eastAsia="Trebuchet MS Bold"/>
          <w:b/>
          <w:bCs/>
          <w:u w:val="single"/>
        </w:rPr>
        <w:t>113320211</w:t>
      </w:r>
      <w:r>
        <w:rPr>
          <w:rFonts w:eastAsia="Trebuchet MS Bold"/>
          <w:b/>
          <w:bCs/>
          <w:u w:val="single"/>
        </w:rPr>
        <w:t xml:space="preserve">-APN-SG#SOFSE </w:t>
      </w:r>
      <w:r w:rsidR="00845BE1">
        <w:rPr>
          <w:rFonts w:eastAsia="Trebuchet MS Bold"/>
          <w:b/>
          <w:bCs/>
          <w:u w:val="single"/>
        </w:rPr>
        <w:t>–</w:t>
      </w:r>
      <w:r>
        <w:rPr>
          <w:rFonts w:eastAsia="Trebuchet MS Bold"/>
          <w:b/>
          <w:bCs/>
          <w:u w:val="single"/>
        </w:rPr>
        <w:t xml:space="preserve"> </w:t>
      </w:r>
      <w:r w:rsidR="00845BE1">
        <w:rPr>
          <w:rFonts w:eastAsia="Trebuchet MS Bold"/>
          <w:b/>
          <w:bCs/>
          <w:u w:val="single"/>
        </w:rPr>
        <w:t>COSTO POR COPIA MONOCROMATICO (OCT-DIC 2019) IT GROUP S.A.</w:t>
      </w:r>
      <w:r w:rsidR="00D67F71">
        <w:rPr>
          <w:rFonts w:eastAsia="Trebuchet MS Bold"/>
          <w:b/>
          <w:bCs/>
          <w:u w:val="single"/>
        </w:rPr>
        <w:t xml:space="preserve"> – AUTORIZACION DE PAGO.</w:t>
      </w:r>
    </w:p>
    <w:p w:rsidR="00932D21" w:rsidRPr="00932D21" w:rsidRDefault="00932D21" w:rsidP="00932D21">
      <w:pPr>
        <w:pStyle w:val="Cuerpo"/>
        <w:spacing w:after="240"/>
        <w:ind w:left="1776"/>
        <w:jc w:val="both"/>
      </w:pPr>
      <w:r w:rsidRPr="00F57E0B">
        <w:t xml:space="preserve">El Directorio en </w:t>
      </w:r>
      <w:r>
        <w:t xml:space="preserve">forma unánime resuelve </w:t>
      </w:r>
      <w:r w:rsidR="00686ACA" w:rsidRPr="00686ACA">
        <w:t>aprobar</w:t>
      </w:r>
      <w:r>
        <w:t xml:space="preserve"> a favor de </w:t>
      </w:r>
      <w:r w:rsidR="00845BE1">
        <w:t>IT GROUP S.A</w:t>
      </w:r>
      <w:r w:rsidR="00782617">
        <w:t>.</w:t>
      </w:r>
      <w:r w:rsidR="00212DEB">
        <w:t xml:space="preserve"> </w:t>
      </w:r>
      <w:r w:rsidR="00D56E4C">
        <w:t xml:space="preserve">el pago </w:t>
      </w:r>
      <w:r w:rsidR="00212DEB">
        <w:t xml:space="preserve">correspondiente al servicio </w:t>
      </w:r>
      <w:r w:rsidR="00C11E0E">
        <w:t xml:space="preserve">de costo por copia monocromático, </w:t>
      </w:r>
      <w:r w:rsidR="00212DEB">
        <w:t>prestado durante los meses de octubre, noviembre y diciembre de 2019.</w:t>
      </w:r>
    </w:p>
    <w:p w:rsidR="00D24203" w:rsidRDefault="00444F53" w:rsidP="00D24203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rFonts w:eastAsia="Trebuchet MS Bold"/>
          <w:b/>
          <w:bCs/>
          <w:u w:val="single"/>
        </w:rPr>
        <w:lastRenderedPageBreak/>
        <w:t>EX -2019</w:t>
      </w:r>
      <w:r w:rsidR="00D24203">
        <w:rPr>
          <w:rFonts w:eastAsia="Trebuchet MS Bold"/>
          <w:b/>
          <w:bCs/>
          <w:u w:val="single"/>
        </w:rPr>
        <w:t>-0102894933-APN-SG#SOFSE – AUTORIZACION DE FACTURAS SIN MARCO CONTRACTUAL – LA MANTOVANA SERVICIOS GENERALES S.A. – AUTORIZACION DE PAGO.</w:t>
      </w:r>
    </w:p>
    <w:p w:rsidR="00D24203" w:rsidRDefault="00D24203" w:rsidP="00D24203">
      <w:pPr>
        <w:pStyle w:val="Cuerpo"/>
        <w:spacing w:after="240"/>
        <w:ind w:left="1776"/>
        <w:jc w:val="both"/>
      </w:pPr>
      <w:r w:rsidRPr="00F57E0B">
        <w:t xml:space="preserve">El Directorio en </w:t>
      </w:r>
      <w:r>
        <w:t xml:space="preserve">forma unánime resuelve </w:t>
      </w:r>
      <w:r w:rsidR="00686ACA" w:rsidRPr="00686ACA">
        <w:t>aprobar</w:t>
      </w:r>
      <w:r>
        <w:t xml:space="preserve"> a favor de </w:t>
      </w:r>
      <w:r w:rsidRPr="00D24203">
        <w:t>LA MANTOVANA SERVICIOS GENERALES S.A</w:t>
      </w:r>
      <w:r>
        <w:t>.</w:t>
      </w:r>
      <w:r w:rsidR="00444F53">
        <w:t xml:space="preserve"> </w:t>
      </w:r>
      <w:r w:rsidR="00D56E4C">
        <w:t xml:space="preserve">el pago </w:t>
      </w:r>
      <w:r w:rsidR="00444F53">
        <w:t>correspondiente</w:t>
      </w:r>
      <w:r w:rsidR="001864F5">
        <w:t xml:space="preserve"> al servicio de limpieza integral en el Centro de Trasbordo Moreno durante los meses de julio, agosto y septiembre de 2019</w:t>
      </w:r>
      <w:r w:rsidR="00444F53">
        <w:t xml:space="preserve"> y por el período comprendido entre el 1 y 22 de octubre del 2019</w:t>
      </w:r>
      <w:r w:rsidR="001864F5">
        <w:t>.</w:t>
      </w:r>
    </w:p>
    <w:p w:rsidR="00D24203" w:rsidRDefault="00D24203" w:rsidP="00D24203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rFonts w:eastAsia="Trebuchet MS Bold"/>
          <w:b/>
          <w:bCs/>
          <w:u w:val="single"/>
        </w:rPr>
        <w:t>EX -2020-00290738-APN-SG#SOFSE Y EX -2020-09060368APN-SG#SOFSE – GARANTIA ANUAL DE HARDWARE Y SOFTWARE PARA SISTEMA TETRA (RADIOS) INDRA S.A. – AUTORIZACION DE PAGO.</w:t>
      </w:r>
    </w:p>
    <w:p w:rsidR="00D24203" w:rsidRPr="00D24203" w:rsidRDefault="00D24203" w:rsidP="00D24203">
      <w:pPr>
        <w:pStyle w:val="Prrafodelista"/>
        <w:ind w:left="1776"/>
        <w:jc w:val="both"/>
      </w:pPr>
      <w:r w:rsidRPr="00D24203">
        <w:t xml:space="preserve">El Directorio en forma unánime resuelve </w:t>
      </w:r>
      <w:r w:rsidR="008C1D56" w:rsidRPr="00686ACA">
        <w:t>aprobar</w:t>
      </w:r>
      <w:r w:rsidRPr="00D24203">
        <w:t xml:space="preserve"> a favor INDRA SI S.A.</w:t>
      </w:r>
      <w:r w:rsidR="003B2913">
        <w:t xml:space="preserve"> </w:t>
      </w:r>
      <w:r w:rsidR="00D56E4C">
        <w:t xml:space="preserve">el pago </w:t>
      </w:r>
      <w:r w:rsidR="003B2913">
        <w:t xml:space="preserve">correspondiente </w:t>
      </w:r>
      <w:r w:rsidR="001B6A47">
        <w:t xml:space="preserve">al servicio de garantía anual de sistema TETRA </w:t>
      </w:r>
      <w:r w:rsidR="00D56E4C">
        <w:t xml:space="preserve">(radios) </w:t>
      </w:r>
      <w:r w:rsidR="003B2913">
        <w:t xml:space="preserve">por el </w:t>
      </w:r>
      <w:r w:rsidR="001B6A47">
        <w:t>periodo</w:t>
      </w:r>
      <w:r w:rsidR="003B2913">
        <w:t xml:space="preserve"> comprendido entre </w:t>
      </w:r>
      <w:r w:rsidR="001B6A47">
        <w:t>el 15 de julio de 2019 al 15 de enero de 2020.</w:t>
      </w:r>
    </w:p>
    <w:p w:rsidR="00D24203" w:rsidRDefault="00D24203" w:rsidP="00D24203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rFonts w:eastAsia="Trebuchet MS Bold"/>
          <w:b/>
          <w:bCs/>
          <w:u w:val="single"/>
        </w:rPr>
        <w:t>EX -2020-</w:t>
      </w:r>
      <w:r w:rsidR="0074687D">
        <w:rPr>
          <w:rFonts w:eastAsia="Trebuchet MS Bold"/>
          <w:b/>
          <w:bCs/>
          <w:u w:val="single"/>
        </w:rPr>
        <w:t>22526938</w:t>
      </w:r>
      <w:r>
        <w:rPr>
          <w:rFonts w:eastAsia="Trebuchet MS Bold"/>
          <w:b/>
          <w:bCs/>
          <w:u w:val="single"/>
        </w:rPr>
        <w:t xml:space="preserve">-APN-SG#SOFSE – </w:t>
      </w:r>
      <w:r w:rsidR="00A2198E">
        <w:rPr>
          <w:rFonts w:eastAsia="Trebuchet MS Bold"/>
          <w:b/>
          <w:bCs/>
          <w:u w:val="single"/>
        </w:rPr>
        <w:t>INTERLINK LATINOAMERICA S.R.L. SERVICIO DE MANTENIMIENTO PREVENCION Y CORRECTIVO DE SISTEMA ENLACE WIFI –LM-</w:t>
      </w:r>
      <w:r>
        <w:rPr>
          <w:rFonts w:eastAsia="Trebuchet MS Bold"/>
          <w:b/>
          <w:bCs/>
          <w:u w:val="single"/>
        </w:rPr>
        <w:t xml:space="preserve"> AUTORIZACION DE PAGO.</w:t>
      </w:r>
    </w:p>
    <w:p w:rsidR="00163733" w:rsidRDefault="00163733" w:rsidP="00163733">
      <w:pPr>
        <w:pStyle w:val="Cuerpo"/>
        <w:spacing w:after="240"/>
        <w:ind w:left="1775"/>
        <w:jc w:val="both"/>
        <w:rPr>
          <w:rFonts w:eastAsia="Trebuchet MS Bold"/>
          <w:bCs/>
        </w:rPr>
      </w:pPr>
      <w:r w:rsidRPr="00163733">
        <w:rPr>
          <w:rFonts w:eastAsia="Trebuchet MS Bold"/>
          <w:bCs/>
        </w:rPr>
        <w:t xml:space="preserve">El Directorio en forma unánime resuelve </w:t>
      </w:r>
      <w:r w:rsidR="008C1D56" w:rsidRPr="00686ACA">
        <w:t>aprobar</w:t>
      </w:r>
      <w:r w:rsidRPr="00163733">
        <w:rPr>
          <w:rFonts w:eastAsia="Trebuchet MS Bold"/>
          <w:bCs/>
        </w:rPr>
        <w:t xml:space="preserve"> a favor INTERLINK LATINOAMERICA S.R.</w:t>
      </w:r>
      <w:r>
        <w:rPr>
          <w:rFonts w:eastAsia="Trebuchet MS Bold"/>
          <w:bCs/>
        </w:rPr>
        <w:t>L.</w:t>
      </w:r>
      <w:r w:rsidR="002F0617">
        <w:rPr>
          <w:rFonts w:eastAsia="Trebuchet MS Bold"/>
          <w:bCs/>
        </w:rPr>
        <w:t xml:space="preserve"> </w:t>
      </w:r>
      <w:r w:rsidR="00D56E4C">
        <w:t xml:space="preserve">el pago </w:t>
      </w:r>
      <w:r w:rsidR="002F0617">
        <w:t>correspondiente</w:t>
      </w:r>
      <w:r w:rsidR="0074687D">
        <w:t xml:space="preserve"> al servicio de la referencia para los períodos de diciembre 2019 y un proporcional de enero 2020, comprendido entre el 1 y el 7 de enero 2020.</w:t>
      </w:r>
    </w:p>
    <w:p w:rsidR="00D24203" w:rsidRDefault="00D24203" w:rsidP="00163733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rFonts w:eastAsia="Trebuchet MS Bold"/>
          <w:b/>
          <w:bCs/>
          <w:u w:val="single"/>
        </w:rPr>
        <w:t>EX -2020-</w:t>
      </w:r>
      <w:r w:rsidR="008C1D56">
        <w:rPr>
          <w:rFonts w:eastAsia="Trebuchet MS Bold"/>
          <w:b/>
          <w:bCs/>
          <w:u w:val="single"/>
        </w:rPr>
        <w:t>13643775</w:t>
      </w:r>
      <w:r>
        <w:rPr>
          <w:rFonts w:eastAsia="Trebuchet MS Bold"/>
          <w:b/>
          <w:bCs/>
          <w:u w:val="single"/>
        </w:rPr>
        <w:t xml:space="preserve">-APN-SG#SOFSE – </w:t>
      </w:r>
      <w:r w:rsidR="00163733">
        <w:rPr>
          <w:rFonts w:eastAsia="Trebuchet MS Bold"/>
          <w:b/>
          <w:bCs/>
          <w:u w:val="single"/>
        </w:rPr>
        <w:t>SERVICIO DE MANTENIMIENTO Y OPERATIVIDAD DE LOS SISTEMAS DINAMICO Y ESTATICO DE CCTV 01/01/2020 AL 31/01/2020 – MKS EMPRENDIMIENTOS Y SERVICIOS S.R.L.</w:t>
      </w:r>
      <w:r>
        <w:rPr>
          <w:rFonts w:eastAsia="Trebuchet MS Bold"/>
          <w:b/>
          <w:bCs/>
          <w:u w:val="single"/>
        </w:rPr>
        <w:t xml:space="preserve"> – AUTORIZACION DE PAGO.</w:t>
      </w:r>
    </w:p>
    <w:p w:rsidR="00711F4E" w:rsidRDefault="00711F4E" w:rsidP="00711F4E">
      <w:pPr>
        <w:pStyle w:val="Cuerpo"/>
        <w:spacing w:after="240"/>
        <w:ind w:left="1776"/>
        <w:jc w:val="both"/>
        <w:rPr>
          <w:rFonts w:eastAsia="Trebuchet MS Bold"/>
          <w:bCs/>
        </w:rPr>
      </w:pPr>
      <w:r w:rsidRPr="00163733">
        <w:rPr>
          <w:rFonts w:eastAsia="Trebuchet MS Bold"/>
          <w:bCs/>
        </w:rPr>
        <w:t xml:space="preserve">El Directorio en forma unánime resuelve </w:t>
      </w:r>
      <w:r w:rsidR="008C1D56" w:rsidRPr="00686ACA">
        <w:t>aprobar</w:t>
      </w:r>
      <w:r w:rsidRPr="00163733">
        <w:rPr>
          <w:rFonts w:eastAsia="Trebuchet MS Bold"/>
          <w:bCs/>
        </w:rPr>
        <w:t xml:space="preserve"> a favor </w:t>
      </w:r>
      <w:r w:rsidRPr="00711F4E">
        <w:rPr>
          <w:rFonts w:eastAsia="Trebuchet MS Bold"/>
          <w:bCs/>
        </w:rPr>
        <w:t>MKS EMPRENDIMIENTOS Y SERVICIOS S.R.L</w:t>
      </w:r>
      <w:r>
        <w:rPr>
          <w:rFonts w:eastAsia="Trebuchet MS Bold"/>
          <w:bCs/>
        </w:rPr>
        <w:t>.</w:t>
      </w:r>
      <w:r w:rsidR="008C1D56">
        <w:rPr>
          <w:rFonts w:eastAsia="Trebuchet MS Bold"/>
          <w:bCs/>
        </w:rPr>
        <w:t xml:space="preserve"> </w:t>
      </w:r>
      <w:r w:rsidR="00D56E4C">
        <w:t xml:space="preserve">el pago </w:t>
      </w:r>
      <w:r w:rsidR="002A1B60">
        <w:rPr>
          <w:rFonts w:eastAsia="Trebuchet MS Bold"/>
          <w:bCs/>
        </w:rPr>
        <w:t xml:space="preserve">correspondiente al servicio de </w:t>
      </w:r>
      <w:r w:rsidR="00D56E4C" w:rsidRPr="00D56E4C">
        <w:rPr>
          <w:rFonts w:eastAsia="Trebuchet MS Bold"/>
          <w:bCs/>
        </w:rPr>
        <w:t>mantenimiento y operatividad de los sistemas dinámico y estático de CCTV</w:t>
      </w:r>
      <w:r w:rsidR="00D56E4C">
        <w:rPr>
          <w:rFonts w:eastAsia="Trebuchet MS Bold"/>
          <w:bCs/>
        </w:rPr>
        <w:t xml:space="preserve"> en las líneas de AMBA y Trenes Regionales</w:t>
      </w:r>
      <w:r w:rsidR="002A1B60">
        <w:rPr>
          <w:rFonts w:eastAsia="Trebuchet MS Bold"/>
          <w:bCs/>
        </w:rPr>
        <w:t>.</w:t>
      </w:r>
    </w:p>
    <w:p w:rsidR="003909B1" w:rsidRPr="00D24203" w:rsidRDefault="00D00875" w:rsidP="00D24203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 w:rsidRPr="00D24203">
        <w:rPr>
          <w:rFonts w:eastAsia="Trebuchet MS Bold"/>
          <w:b/>
          <w:bCs/>
          <w:u w:val="single"/>
        </w:rPr>
        <w:t>VARIOS</w:t>
      </w:r>
      <w:r w:rsidRPr="00D24203">
        <w:rPr>
          <w:b/>
          <w:bCs/>
          <w:u w:val="single"/>
        </w:rPr>
        <w:t>:</w:t>
      </w:r>
    </w:p>
    <w:p w:rsidR="00D00875" w:rsidRDefault="00163733" w:rsidP="00163733">
      <w:pPr>
        <w:pStyle w:val="Prrafodelista"/>
        <w:numPr>
          <w:ilvl w:val="0"/>
          <w:numId w:val="15"/>
        </w:numPr>
        <w:jc w:val="both"/>
        <w:rPr>
          <w:b/>
          <w:u w:val="single"/>
        </w:rPr>
      </w:pPr>
      <w:r>
        <w:rPr>
          <w:b/>
          <w:u w:val="single"/>
        </w:rPr>
        <w:t>PUESTA EN CONOCIMIENTO DE L</w:t>
      </w:r>
      <w:r w:rsidR="00E23DED">
        <w:rPr>
          <w:b/>
          <w:u w:val="single"/>
        </w:rPr>
        <w:t>A GESTION DE PRESIDENCIA MARZO</w:t>
      </w:r>
      <w:r>
        <w:rPr>
          <w:b/>
          <w:u w:val="single"/>
        </w:rPr>
        <w:t xml:space="preserve"> 2020.</w:t>
      </w:r>
    </w:p>
    <w:p w:rsidR="002A1B60" w:rsidRDefault="00E35F57" w:rsidP="00BC274D">
      <w:pPr>
        <w:pStyle w:val="Prrafodelista"/>
        <w:ind w:left="2496"/>
        <w:jc w:val="both"/>
      </w:pPr>
      <w:r>
        <w:t xml:space="preserve">El Sr. Presidente informa que </w:t>
      </w:r>
      <w:r w:rsidR="002A1B60">
        <w:t xml:space="preserve">durante </w:t>
      </w:r>
      <w:r>
        <w:t>el mes de marzo del corriente</w:t>
      </w:r>
      <w:r w:rsidR="00B969DA">
        <w:t>,</w:t>
      </w:r>
      <w:r>
        <w:t xml:space="preserve"> en uso de las facultades otorgadas por el Estatuto social y por el Reglamento de Compras y Contrataciones,</w:t>
      </w:r>
      <w:r w:rsidRPr="00E35F57">
        <w:t xml:space="preserve"> </w:t>
      </w:r>
      <w:r>
        <w:t>se han firmado las siguientes resoluciones</w:t>
      </w:r>
      <w:r w:rsidR="002A1B60">
        <w:t>:</w:t>
      </w:r>
    </w:p>
    <w:tbl>
      <w:tblPr>
        <w:tblStyle w:val="Tablaconcuadrcula"/>
        <w:tblW w:w="7205" w:type="dxa"/>
        <w:tblInd w:w="2496" w:type="dxa"/>
        <w:tblLayout w:type="fixed"/>
        <w:tblLook w:val="04A0" w:firstRow="1" w:lastRow="0" w:firstColumn="1" w:lastColumn="0" w:noHBand="0" w:noVBand="1"/>
      </w:tblPr>
      <w:tblGrid>
        <w:gridCol w:w="1213"/>
        <w:gridCol w:w="1213"/>
        <w:gridCol w:w="964"/>
        <w:gridCol w:w="1111"/>
        <w:gridCol w:w="1401"/>
        <w:gridCol w:w="1303"/>
      </w:tblGrid>
      <w:tr w:rsidR="003C147E" w:rsidTr="003C147E">
        <w:tc>
          <w:tcPr>
            <w:tcW w:w="1213" w:type="dxa"/>
          </w:tcPr>
          <w:p w:rsidR="003C147E" w:rsidRPr="005B411F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lastRenderedPageBreak/>
              <w:t xml:space="preserve">N° DE </w:t>
            </w:r>
            <w:r>
              <w:rPr>
                <w:b/>
              </w:rPr>
              <w:t>EX</w:t>
            </w:r>
          </w:p>
        </w:tc>
        <w:tc>
          <w:tcPr>
            <w:tcW w:w="1213" w:type="dxa"/>
          </w:tcPr>
          <w:p w:rsidR="003C147E" w:rsidRPr="005B411F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TIPO DE ACTO</w:t>
            </w:r>
          </w:p>
        </w:tc>
        <w:tc>
          <w:tcPr>
            <w:tcW w:w="964" w:type="dxa"/>
          </w:tcPr>
          <w:p w:rsidR="003C147E" w:rsidRPr="005B411F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N° ACTO SOFSE</w:t>
            </w:r>
          </w:p>
        </w:tc>
        <w:tc>
          <w:tcPr>
            <w:tcW w:w="1111" w:type="dxa"/>
          </w:tcPr>
          <w:p w:rsidR="003C147E" w:rsidRPr="005B411F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</w:t>
            </w:r>
            <w:r>
              <w:rPr>
                <w:b/>
              </w:rPr>
              <w:t xml:space="preserve"> ACTO GDE</w:t>
            </w:r>
          </w:p>
        </w:tc>
        <w:tc>
          <w:tcPr>
            <w:tcW w:w="1401" w:type="dxa"/>
          </w:tcPr>
          <w:p w:rsidR="003C147E" w:rsidRPr="005B411F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TEMA</w:t>
            </w:r>
          </w:p>
        </w:tc>
        <w:tc>
          <w:tcPr>
            <w:tcW w:w="1303" w:type="dxa"/>
          </w:tcPr>
          <w:p w:rsidR="003C147E" w:rsidRPr="005B411F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 DE LICITACIÓN</w:t>
            </w:r>
          </w:p>
        </w:tc>
      </w:tr>
      <w:tr w:rsidR="003C147E" w:rsidRPr="005B411F" w:rsidTr="003C147E">
        <w:tc>
          <w:tcPr>
            <w:tcW w:w="1213" w:type="dxa"/>
          </w:tcPr>
          <w:p w:rsidR="003C147E" w:rsidRDefault="00F6734F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EX2018-52436308-APN-SG#SOFSE</w:t>
            </w:r>
          </w:p>
        </w:tc>
        <w:tc>
          <w:tcPr>
            <w:tcW w:w="1213" w:type="dxa"/>
          </w:tcPr>
          <w:p w:rsidR="003C147E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 xml:space="preserve">Resolución de adjudicación </w:t>
            </w:r>
          </w:p>
        </w:tc>
        <w:tc>
          <w:tcPr>
            <w:tcW w:w="964" w:type="dxa"/>
          </w:tcPr>
          <w:p w:rsidR="003C147E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RESOL-2020-11-APN-SOFSE#MTR</w:t>
            </w:r>
          </w:p>
        </w:tc>
        <w:tc>
          <w:tcPr>
            <w:tcW w:w="1111" w:type="dxa"/>
          </w:tcPr>
          <w:p w:rsidR="003C147E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RS-2020-18020540-APN-SOFSE#MTR</w:t>
            </w:r>
          </w:p>
        </w:tc>
        <w:tc>
          <w:tcPr>
            <w:tcW w:w="1401" w:type="dxa"/>
          </w:tcPr>
          <w:p w:rsidR="003C147E" w:rsidRPr="005B411F" w:rsidRDefault="003C147E" w:rsidP="003C147E">
            <w:pPr>
              <w:jc w:val="both"/>
              <w:rPr>
                <w:lang w:val="es-AR"/>
              </w:rPr>
            </w:pPr>
            <w:r w:rsidRPr="005B411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s-ES_tradnl" w:eastAsia="es-AR"/>
              </w:rPr>
              <w:t>Reubicación de puesta en valor de mesa giratoria en km 5</w:t>
            </w:r>
            <w:r w:rsidRPr="005B411F">
              <w:rPr>
                <w:lang w:val="es-AR"/>
              </w:rPr>
              <w:t xml:space="preserve"> </w:t>
            </w:r>
          </w:p>
        </w:tc>
        <w:tc>
          <w:tcPr>
            <w:tcW w:w="1303" w:type="dxa"/>
          </w:tcPr>
          <w:p w:rsidR="003C147E" w:rsidRPr="005B411F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s-AR"/>
              </w:rPr>
            </w:pPr>
            <w:r>
              <w:rPr>
                <w:lang w:val="es-AR"/>
              </w:rPr>
              <w:t>Licitación privada nacional 46/2018</w:t>
            </w:r>
          </w:p>
        </w:tc>
      </w:tr>
      <w:tr w:rsidR="003C147E" w:rsidRPr="002F03F1" w:rsidTr="003C147E">
        <w:tc>
          <w:tcPr>
            <w:tcW w:w="1213" w:type="dxa"/>
          </w:tcPr>
          <w:p w:rsidR="003C147E" w:rsidRDefault="00F6734F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EX2019-63955114-APN-SG#SOFSE</w:t>
            </w:r>
          </w:p>
        </w:tc>
        <w:tc>
          <w:tcPr>
            <w:tcW w:w="1213" w:type="dxa"/>
          </w:tcPr>
          <w:p w:rsidR="003C147E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 xml:space="preserve">Resolución fracaso licitación </w:t>
            </w:r>
          </w:p>
        </w:tc>
        <w:tc>
          <w:tcPr>
            <w:tcW w:w="964" w:type="dxa"/>
          </w:tcPr>
          <w:p w:rsidR="003C147E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RESOL-2020-12-APN-SOFSE#MTR</w:t>
            </w:r>
          </w:p>
        </w:tc>
        <w:tc>
          <w:tcPr>
            <w:tcW w:w="1111" w:type="dxa"/>
          </w:tcPr>
          <w:p w:rsidR="003C147E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RS-2020-18020865-APN-SOFSE#MTR</w:t>
            </w:r>
          </w:p>
        </w:tc>
        <w:tc>
          <w:tcPr>
            <w:tcW w:w="1401" w:type="dxa"/>
          </w:tcPr>
          <w:p w:rsidR="003C147E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Adquisición de herramientas de trabajo para los equipos retroexcavadores biviales</w:t>
            </w:r>
          </w:p>
        </w:tc>
        <w:tc>
          <w:tcPr>
            <w:tcW w:w="1303" w:type="dxa"/>
          </w:tcPr>
          <w:p w:rsidR="003C147E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Licitación privada nacional e internacional 13/2019</w:t>
            </w:r>
          </w:p>
        </w:tc>
      </w:tr>
      <w:tr w:rsidR="003C147E" w:rsidRPr="002F03F1" w:rsidTr="003C147E">
        <w:tc>
          <w:tcPr>
            <w:tcW w:w="1213" w:type="dxa"/>
          </w:tcPr>
          <w:p w:rsidR="003C147E" w:rsidRDefault="00F6734F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EX2020-12854652-APN-SG#SOFSE</w:t>
            </w:r>
          </w:p>
        </w:tc>
        <w:tc>
          <w:tcPr>
            <w:tcW w:w="1213" w:type="dxa"/>
          </w:tcPr>
          <w:p w:rsidR="003C147E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 xml:space="preserve">Convenio de colaboración </w:t>
            </w:r>
          </w:p>
        </w:tc>
        <w:tc>
          <w:tcPr>
            <w:tcW w:w="964" w:type="dxa"/>
          </w:tcPr>
          <w:p w:rsidR="003C147E" w:rsidRDefault="003C147E" w:rsidP="003C147E"/>
        </w:tc>
        <w:tc>
          <w:tcPr>
            <w:tcW w:w="1111" w:type="dxa"/>
          </w:tcPr>
          <w:p w:rsidR="003C147E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IF-2020-18019636-APN#MTR</w:t>
            </w:r>
          </w:p>
        </w:tc>
        <w:tc>
          <w:tcPr>
            <w:tcW w:w="1401" w:type="dxa"/>
          </w:tcPr>
          <w:p w:rsidR="003C147E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Convenio de colaboración entre SOFSE y DECAHF</w:t>
            </w:r>
          </w:p>
        </w:tc>
        <w:tc>
          <w:tcPr>
            <w:tcW w:w="1303" w:type="dxa"/>
          </w:tcPr>
          <w:p w:rsidR="003C147E" w:rsidRDefault="003C147E" w:rsidP="003C147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</w:p>
        </w:tc>
      </w:tr>
    </w:tbl>
    <w:p w:rsidR="005B411F" w:rsidRDefault="005B411F" w:rsidP="00BC274D">
      <w:pPr>
        <w:pStyle w:val="Prrafodelista"/>
        <w:ind w:left="2496"/>
        <w:jc w:val="both"/>
      </w:pPr>
    </w:p>
    <w:p w:rsidR="00163733" w:rsidRDefault="00163733" w:rsidP="009A761D">
      <w:pPr>
        <w:pStyle w:val="Prrafodelista"/>
        <w:numPr>
          <w:ilvl w:val="0"/>
          <w:numId w:val="15"/>
        </w:numPr>
        <w:jc w:val="both"/>
        <w:rPr>
          <w:b/>
          <w:u w:val="single"/>
        </w:rPr>
      </w:pPr>
      <w:r>
        <w:rPr>
          <w:b/>
          <w:u w:val="single"/>
        </w:rPr>
        <w:t>PUESTA EN CONOCIMIENTO LIBERACION ORDENES DE COMPRA YPF S.A.</w:t>
      </w:r>
    </w:p>
    <w:p w:rsidR="004C36B2" w:rsidRDefault="004C36B2" w:rsidP="009A761D">
      <w:pPr>
        <w:pStyle w:val="Prrafodelista"/>
        <w:ind w:left="2496"/>
        <w:jc w:val="both"/>
      </w:pPr>
      <w:r>
        <w:t xml:space="preserve">El Sr. Presidente informa que </w:t>
      </w:r>
      <w:r w:rsidR="005563CC">
        <w:t>en el marco</w:t>
      </w:r>
      <w:r w:rsidR="005536B9">
        <w:t xml:space="preserve"> de la Carta oferta entre </w:t>
      </w:r>
      <w:r w:rsidR="005563CC">
        <w:t>YPF S.A.</w:t>
      </w:r>
      <w:r w:rsidR="005536B9">
        <w:t xml:space="preserve"> y SOFSE aprobada por Acta de Directorio N° 185 de fecha 14 de julio de 2017,</w:t>
      </w:r>
      <w:r w:rsidR="005563CC">
        <w:t xml:space="preserve"> </w:t>
      </w:r>
      <w:r>
        <w:t>el Gerente de Compras y Contrataciones y el Subgerente de Contratos, han liberado en el sistema SAP las Órdenes de Compra N° 4540000169; 4540000172;</w:t>
      </w:r>
      <w:r w:rsidRPr="004C36B2">
        <w:t xml:space="preserve"> </w:t>
      </w:r>
      <w:r>
        <w:t>4540000173; 4540000181 y 4540000</w:t>
      </w:r>
      <w:r w:rsidR="00CE4911">
        <w:t xml:space="preserve">182, a los efectos de cumplimentar los recaudos formales para </w:t>
      </w:r>
      <w:r w:rsidR="005536B9">
        <w:t>proceder posteriormente al pago del servicio prestado (lubricante, aceites, grasas y combustibles).</w:t>
      </w:r>
    </w:p>
    <w:p w:rsidR="00163733" w:rsidRPr="009A761D" w:rsidRDefault="00163733" w:rsidP="00163733">
      <w:pPr>
        <w:pStyle w:val="Prrafodelista"/>
        <w:numPr>
          <w:ilvl w:val="0"/>
          <w:numId w:val="15"/>
        </w:numPr>
        <w:jc w:val="both"/>
        <w:rPr>
          <w:b/>
          <w:u w:val="single"/>
        </w:rPr>
      </w:pPr>
      <w:r w:rsidRPr="009A761D">
        <w:rPr>
          <w:b/>
          <w:u w:val="single"/>
        </w:rPr>
        <w:t>CREACION DE LA UNIDAD DE GÉNERO Y DIVERSIDAD.</w:t>
      </w:r>
    </w:p>
    <w:p w:rsidR="009A761D" w:rsidRPr="009A761D" w:rsidRDefault="009A761D" w:rsidP="00E83E59">
      <w:pPr>
        <w:spacing w:after="240"/>
        <w:ind w:left="2496"/>
        <w:jc w:val="both"/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</w:pPr>
      <w:r w:rsidRPr="009A761D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>El directorio en forma unánime acepta la propuesta del Sr. Presidente  sobre la</w:t>
      </w:r>
      <w:r w:rsidR="005A6C2A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 xml:space="preserve"> creación de la</w:t>
      </w:r>
      <w:r w:rsidRPr="009A761D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 xml:space="preserve"> UNIDAD DE POLÍTICAS DE GÉNEROS Y DIVERSIDAD</w:t>
      </w:r>
      <w:r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 xml:space="preserve">, e instruye a la Gerencia General de RRHH a tomar las medidas necesarias para su instrumentación </w:t>
      </w:r>
      <w:r w:rsidR="009E02C8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>de modo tal que se definan sus misiones y funciones, organigrama y estructura</w:t>
      </w:r>
      <w:r w:rsidR="006C79E9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 xml:space="preserve"> para su posterior aprobación por este Directorio.</w:t>
      </w:r>
    </w:p>
    <w:p w:rsidR="00163733" w:rsidRDefault="00163733" w:rsidP="00163733">
      <w:pPr>
        <w:pStyle w:val="Prrafodelista"/>
        <w:numPr>
          <w:ilvl w:val="0"/>
          <w:numId w:val="15"/>
        </w:numPr>
        <w:jc w:val="both"/>
        <w:rPr>
          <w:b/>
          <w:u w:val="single"/>
        </w:rPr>
      </w:pPr>
      <w:r>
        <w:rPr>
          <w:b/>
          <w:u w:val="single"/>
        </w:rPr>
        <w:t>CREACION DE LA UNIDAD DE ÉTICA Y TRANSPARENCIA.</w:t>
      </w:r>
    </w:p>
    <w:p w:rsidR="00CD3486" w:rsidRPr="009E02C8" w:rsidRDefault="009A761D" w:rsidP="009E02C8">
      <w:pPr>
        <w:ind w:left="2496"/>
        <w:jc w:val="both"/>
        <w:rPr>
          <w:lang w:val="es-AR"/>
        </w:rPr>
      </w:pPr>
      <w:r w:rsidRPr="009A761D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 xml:space="preserve">El directorio en forma unánime acepta la propuesta del Sr. Presidente  </w:t>
      </w:r>
      <w:r w:rsidR="005A6C2A" w:rsidRPr="009A761D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>sobre la</w:t>
      </w:r>
      <w:r w:rsidR="005A6C2A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 xml:space="preserve"> creación de la</w:t>
      </w:r>
      <w:r w:rsidRPr="009A761D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 xml:space="preserve"> </w:t>
      </w:r>
      <w:r w:rsidRPr="009E02C8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>UNIDAD DE CUMPLIMIENTO, ÉTICA Y TRANSPARENCIA (UCIT),</w:t>
      </w:r>
      <w:r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 xml:space="preserve"> </w:t>
      </w:r>
      <w:r w:rsidR="00E360B3" w:rsidRPr="00E360B3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 xml:space="preserve">e instruye a la Gerencia General de </w:t>
      </w:r>
      <w:r w:rsidR="00E360B3" w:rsidRPr="00E360B3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lastRenderedPageBreak/>
        <w:t>RRHH a tomar las medidas necesarias para su instrumentación de modo tal que se definan sus misiones y funciones, organigrama y estructura para su posterior aprobación por este Directorio.</w:t>
      </w:r>
    </w:p>
    <w:sectPr w:rsidR="00CD3486" w:rsidRPr="009E02C8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21" w:rsidRDefault="00BA7F21">
      <w:r>
        <w:separator/>
      </w:r>
    </w:p>
  </w:endnote>
  <w:endnote w:type="continuationSeparator" w:id="0">
    <w:p w:rsidR="00BA7F21" w:rsidRDefault="00BA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21" w:rsidRDefault="00BA7F21">
      <w:r>
        <w:separator/>
      </w:r>
    </w:p>
  </w:footnote>
  <w:footnote w:type="continuationSeparator" w:id="0">
    <w:p w:rsidR="00BA7F21" w:rsidRDefault="00BA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Default="00C7296C">
    <w:pPr>
      <w:pStyle w:val="Cabeceraypie"/>
    </w:pPr>
    <w:r w:rsidRPr="005113E4">
      <w:rPr>
        <w:noProof/>
      </w:rPr>
      <w:drawing>
        <wp:anchor distT="0" distB="0" distL="114300" distR="114300" simplePos="0" relativeHeight="251659264" behindDoc="0" locked="0" layoutInCell="1" allowOverlap="1" wp14:anchorId="1E0B56A6" wp14:editId="3407E5B6">
          <wp:simplePos x="0" y="0"/>
          <wp:positionH relativeFrom="column">
            <wp:posOffset>4467225</wp:posOffset>
          </wp:positionH>
          <wp:positionV relativeFrom="paragraph">
            <wp:posOffset>-105410</wp:posOffset>
          </wp:positionV>
          <wp:extent cx="1626870" cy="347345"/>
          <wp:effectExtent l="0" t="0" r="0" b="0"/>
          <wp:wrapThrough wrapText="bothSides">
            <wp:wrapPolygon edited="0">
              <wp:start x="0" y="0"/>
              <wp:lineTo x="0" y="20139"/>
              <wp:lineTo x="21246" y="20139"/>
              <wp:lineTo x="2124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2427168C"/>
    <w:multiLevelType w:val="hybridMultilevel"/>
    <w:tmpl w:val="7462739C"/>
    <w:lvl w:ilvl="0" w:tplc="C65AED18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7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8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0">
    <w:nsid w:val="543B2160"/>
    <w:multiLevelType w:val="hybridMultilevel"/>
    <w:tmpl w:val="A2F4EA46"/>
    <w:lvl w:ilvl="0" w:tplc="719CD33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76BA1D7A"/>
    <w:multiLevelType w:val="hybridMultilevel"/>
    <w:tmpl w:val="D40C4C3A"/>
    <w:lvl w:ilvl="0" w:tplc="D48A66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4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C0C70"/>
    <w:rsid w:val="000F2B65"/>
    <w:rsid w:val="0010094A"/>
    <w:rsid w:val="00114A06"/>
    <w:rsid w:val="00163733"/>
    <w:rsid w:val="001864F5"/>
    <w:rsid w:val="0019400F"/>
    <w:rsid w:val="001B45AD"/>
    <w:rsid w:val="001B6A47"/>
    <w:rsid w:val="001C0C66"/>
    <w:rsid w:val="00212DEB"/>
    <w:rsid w:val="002354BB"/>
    <w:rsid w:val="00247767"/>
    <w:rsid w:val="00251350"/>
    <w:rsid w:val="002A1B60"/>
    <w:rsid w:val="002F03F1"/>
    <w:rsid w:val="002F0617"/>
    <w:rsid w:val="003909B1"/>
    <w:rsid w:val="00397BBD"/>
    <w:rsid w:val="003B2913"/>
    <w:rsid w:val="003C147E"/>
    <w:rsid w:val="00444F53"/>
    <w:rsid w:val="004B0BBB"/>
    <w:rsid w:val="004C2A18"/>
    <w:rsid w:val="004C36B2"/>
    <w:rsid w:val="00510858"/>
    <w:rsid w:val="005536B9"/>
    <w:rsid w:val="005563CC"/>
    <w:rsid w:val="005A6C2A"/>
    <w:rsid w:val="005B411F"/>
    <w:rsid w:val="00606306"/>
    <w:rsid w:val="00644CBD"/>
    <w:rsid w:val="00684890"/>
    <w:rsid w:val="00686ACA"/>
    <w:rsid w:val="006A189D"/>
    <w:rsid w:val="006A62B1"/>
    <w:rsid w:val="006A7053"/>
    <w:rsid w:val="006C79E9"/>
    <w:rsid w:val="006F2894"/>
    <w:rsid w:val="006F669C"/>
    <w:rsid w:val="00711F4E"/>
    <w:rsid w:val="0074687D"/>
    <w:rsid w:val="00782617"/>
    <w:rsid w:val="00813CC7"/>
    <w:rsid w:val="00822F18"/>
    <w:rsid w:val="00845BE1"/>
    <w:rsid w:val="008743DA"/>
    <w:rsid w:val="00877291"/>
    <w:rsid w:val="008C1D56"/>
    <w:rsid w:val="00910B58"/>
    <w:rsid w:val="009320BD"/>
    <w:rsid w:val="00932D21"/>
    <w:rsid w:val="009360BE"/>
    <w:rsid w:val="009420F1"/>
    <w:rsid w:val="009A761D"/>
    <w:rsid w:val="009E02C8"/>
    <w:rsid w:val="009F5D4D"/>
    <w:rsid w:val="00A2198E"/>
    <w:rsid w:val="00A537C0"/>
    <w:rsid w:val="00A92E39"/>
    <w:rsid w:val="00AB3891"/>
    <w:rsid w:val="00AD3C15"/>
    <w:rsid w:val="00AE0FC7"/>
    <w:rsid w:val="00B24A95"/>
    <w:rsid w:val="00B25F8E"/>
    <w:rsid w:val="00B80C21"/>
    <w:rsid w:val="00B8156A"/>
    <w:rsid w:val="00B969DA"/>
    <w:rsid w:val="00BA7F21"/>
    <w:rsid w:val="00BB4B82"/>
    <w:rsid w:val="00BB7A7F"/>
    <w:rsid w:val="00BC274D"/>
    <w:rsid w:val="00BC44AC"/>
    <w:rsid w:val="00BE00F1"/>
    <w:rsid w:val="00C11E0E"/>
    <w:rsid w:val="00C15317"/>
    <w:rsid w:val="00C21F6F"/>
    <w:rsid w:val="00C7296C"/>
    <w:rsid w:val="00C74E6F"/>
    <w:rsid w:val="00CA0C1C"/>
    <w:rsid w:val="00CB46D2"/>
    <w:rsid w:val="00CC1090"/>
    <w:rsid w:val="00CD3486"/>
    <w:rsid w:val="00CD6CC9"/>
    <w:rsid w:val="00CE4911"/>
    <w:rsid w:val="00D00875"/>
    <w:rsid w:val="00D24203"/>
    <w:rsid w:val="00D47F01"/>
    <w:rsid w:val="00D56E4C"/>
    <w:rsid w:val="00D67F71"/>
    <w:rsid w:val="00D9261F"/>
    <w:rsid w:val="00DC52AE"/>
    <w:rsid w:val="00E1041B"/>
    <w:rsid w:val="00E23DED"/>
    <w:rsid w:val="00E35F57"/>
    <w:rsid w:val="00E360B3"/>
    <w:rsid w:val="00E41B79"/>
    <w:rsid w:val="00E67C06"/>
    <w:rsid w:val="00E70633"/>
    <w:rsid w:val="00E733DE"/>
    <w:rsid w:val="00E83E59"/>
    <w:rsid w:val="00EA09F1"/>
    <w:rsid w:val="00EC7520"/>
    <w:rsid w:val="00EF16EF"/>
    <w:rsid w:val="00F57E0B"/>
    <w:rsid w:val="00F6734F"/>
    <w:rsid w:val="00F855B3"/>
    <w:rsid w:val="00FB3D17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table" w:styleId="Tablaconcuadrcula">
    <w:name w:val="Table Grid"/>
    <w:basedOn w:val="Tablanormal"/>
    <w:uiPriority w:val="39"/>
    <w:rsid w:val="005B4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53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317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C729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96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729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9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1363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Ferro, Florencia</dc:creator>
  <cp:lastModifiedBy>Ferro, Florencia</cp:lastModifiedBy>
  <cp:revision>40</cp:revision>
  <cp:lastPrinted>2020-11-26T19:14:00Z</cp:lastPrinted>
  <dcterms:created xsi:type="dcterms:W3CDTF">2020-11-10T16:04:00Z</dcterms:created>
  <dcterms:modified xsi:type="dcterms:W3CDTF">2021-01-13T14:25:00Z</dcterms:modified>
</cp:coreProperties>
</file>