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A1" w:rsidRDefault="006D7BA1" w:rsidP="006D7BA1">
      <w:pPr>
        <w:jc w:val="center"/>
        <w:rPr>
          <w:b/>
          <w:sz w:val="24"/>
          <w:lang w:val="es-AR"/>
        </w:rPr>
      </w:pPr>
      <w:bookmarkStart w:id="0" w:name="_GoBack"/>
      <w:bookmarkEnd w:id="0"/>
      <w:r>
        <w:rPr>
          <w:b/>
          <w:sz w:val="24"/>
          <w:lang w:val="es-AR"/>
        </w:rPr>
        <w:t>MOVIMIENTOS DE FONDOS Y VALORES</w:t>
      </w:r>
    </w:p>
    <w:p w:rsidR="006D7BA1" w:rsidRDefault="006D7BA1" w:rsidP="006D7BA1">
      <w:pPr>
        <w:jc w:val="center"/>
        <w:rPr>
          <w:b/>
          <w:sz w:val="24"/>
          <w:lang w:val="es-AR"/>
        </w:rPr>
      </w:pPr>
      <w:r>
        <w:rPr>
          <w:b/>
          <w:sz w:val="24"/>
          <w:lang w:val="es-AR"/>
        </w:rPr>
        <w:t>DE TERCEROS Y EN GARANTÍA</w:t>
      </w:r>
    </w:p>
    <w:p w:rsidR="006D7BA1" w:rsidRDefault="006D7BA1" w:rsidP="006D7BA1">
      <w:pPr>
        <w:jc w:val="center"/>
        <w:rPr>
          <w:b/>
          <w:sz w:val="24"/>
          <w:lang w:val="es-AR"/>
        </w:rPr>
      </w:pPr>
      <w:r>
        <w:rPr>
          <w:rFonts w:ascii="Times New (W1)" w:hAnsi="Times New (W1)"/>
          <w:b/>
          <w:sz w:val="24"/>
          <w:lang w:val="es-AR"/>
        </w:rPr>
        <w:t>CORRESPONDIENTES AL</w:t>
      </w:r>
      <w:r>
        <w:rPr>
          <w:b/>
          <w:sz w:val="24"/>
          <w:lang w:val="es-AR"/>
        </w:rPr>
        <w:t xml:space="preserve"> EJERCICIO FISCAL QUE SE CIERRA </w:t>
      </w:r>
    </w:p>
    <w:p w:rsidR="006D7BA1" w:rsidRDefault="006D7BA1" w:rsidP="006D7BA1">
      <w:pPr>
        <w:jc w:val="center"/>
        <w:rPr>
          <w:b/>
          <w:sz w:val="24"/>
          <w:lang w:val="es-AR"/>
        </w:rPr>
      </w:pP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1"/>
      </w:pPr>
      <w:r>
        <w:t>Objetivo del cuadro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Sangradetextonormal"/>
      </w:pPr>
      <w:r>
        <w:t>Exponer el movimiento consolidado de fondos monetarios y valores de terceros y en garantía, desagregados por tipo de Fondo y Valor, operado por cada Servicio Administrativo-Financiero (excluyendo las Unidades Ejecutoras de Préstamos Externos que operan bajo su órbita), durante el ejercicio que se informa.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1"/>
      </w:pPr>
      <w:r>
        <w:t>Aclaraciones preliminares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>Se denominará “Libro” al archivo Excel que guarda la información de los cuadros.</w:t>
      </w:r>
      <w:r>
        <w:rPr>
          <w:sz w:val="24"/>
          <w:lang w:val="es-AR"/>
        </w:rPr>
        <w:br/>
        <w:t>Se denominará “Hoja” a cada una de las sub-planillas de cálculo que contiene el Libro respectivo.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>El Libro que contiene la información de los cuadros se denomina “Cuadro03”, extensión XLS. El Organismo deberá grabar el Libro bajo el nombre “nnnCuadro03”, extensión XLS, siendo “</w:t>
      </w:r>
      <w:proofErr w:type="spellStart"/>
      <w:r>
        <w:rPr>
          <w:sz w:val="24"/>
          <w:lang w:val="es-AR"/>
        </w:rPr>
        <w:t>nnn</w:t>
      </w:r>
      <w:proofErr w:type="spellEnd"/>
      <w:r>
        <w:rPr>
          <w:sz w:val="24"/>
          <w:lang w:val="es-AR"/>
        </w:rPr>
        <w:t>” igual al código del Servicio Administrativo-Financiero involucrado.</w:t>
      </w:r>
    </w:p>
    <w:p w:rsidR="006D7BA1" w:rsidRDefault="006D7BA1" w:rsidP="006D7BA1">
      <w:pPr>
        <w:ind w:left="360"/>
        <w:jc w:val="both"/>
        <w:rPr>
          <w:sz w:val="24"/>
          <w:lang w:val="es-AR"/>
        </w:rPr>
      </w:pPr>
      <w:r>
        <w:rPr>
          <w:sz w:val="24"/>
          <w:lang w:val="es-AR"/>
        </w:rPr>
        <w:t>Por ejemplo, para el Servicio Administrativo-Financiero Nº 348, el Libro deberá ser grabado como “348Cuadro03”, extensión XLS.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>Dicho libro contiene 11 (once) hojas, a saber: 1) “Datos Generales”; 2) “Cuadro 3”; 3) “AXT 711-H.1”; 4) “AXT 711-H.2”; 5) “AXT 711-H.3”; 6) “AXT 712-H.1”; 7) “AXT 712-H.2”; 8) “AXT 712-H.3”; 9) “AXT 725-H.1”; 10) “AXT 725-H.2”; 11) “AXT 725-H.3”.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>Todas las Hojas del Libro se encuentran protegidas contra escritura, encontrándose habilitadas exclusivamente aquellas celdas en las que el Servicio Administrativo-Financiero debe ingresar información.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>En la Hoja “Datos Generales”, el Servicio Administrativo-Financiero deberá ingresar el código y la descripción del mismo, y los datos de tres funcionarios que sean referentes para evacuar cualquier consulta respecto de los Cuadros que contiene el Libro.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 xml:space="preserve">En la Hoja “Cuadro 3”, el Servicio Administrativo-Financiero deberá ingresar los importes de Saldos </w:t>
      </w:r>
      <w:r>
        <w:rPr>
          <w:rFonts w:ascii="Times New (W1)" w:hAnsi="Times New (W1)"/>
          <w:sz w:val="24"/>
          <w:lang w:val="es-AR"/>
        </w:rPr>
        <w:t xml:space="preserve">al </w:t>
      </w:r>
      <w:r>
        <w:rPr>
          <w:rFonts w:ascii="Times New (W1)" w:hAnsi="Times New (W1)" w:cs="Arial"/>
          <w:sz w:val="24"/>
          <w:szCs w:val="22"/>
        </w:rPr>
        <w:t>31 de diciembre del ejercicio que se cierra</w:t>
      </w:r>
      <w:r>
        <w:rPr>
          <w:rFonts w:ascii="Times New (W1)" w:hAnsi="Times New (W1)" w:cs="Arial"/>
          <w:sz w:val="24"/>
          <w:szCs w:val="22"/>
          <w:lang w:val="es-AR"/>
        </w:rPr>
        <w:t xml:space="preserve"> </w:t>
      </w:r>
      <w:r>
        <w:rPr>
          <w:sz w:val="24"/>
          <w:lang w:val="es-AR"/>
        </w:rPr>
        <w:t>, Incrementos y Disminuciones, excepto para los movimientos referidos a los AXT 711, 712 y 725, según se explica en las “Instrucciones para la confección del cuadro”.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 xml:space="preserve">En las Hojas restantes (“AXT 711”-H.1 a 3, “AXT 712”-H.1 a 3 y “AXT 725”-H.1 a 3), el Servicio Administrativo-Financiero deberá ingresar, para cada código de beneficiario, los importes de Saldos al </w:t>
      </w:r>
      <w:r>
        <w:rPr>
          <w:rFonts w:ascii="Times New (W1)" w:hAnsi="Times New (W1)" w:cs="Arial"/>
          <w:sz w:val="24"/>
          <w:szCs w:val="22"/>
        </w:rPr>
        <w:t xml:space="preserve">31 de diciembre del ejercicio que se </w:t>
      </w:r>
      <w:proofErr w:type="gramStart"/>
      <w:r>
        <w:rPr>
          <w:rFonts w:ascii="Times New (W1)" w:hAnsi="Times New (W1)" w:cs="Arial"/>
          <w:sz w:val="24"/>
          <w:szCs w:val="22"/>
        </w:rPr>
        <w:t>cierra</w:t>
      </w:r>
      <w:r>
        <w:rPr>
          <w:rFonts w:ascii="Times New (W1)" w:hAnsi="Times New (W1)" w:cs="Arial"/>
          <w:sz w:val="24"/>
          <w:szCs w:val="22"/>
          <w:lang w:val="es-AR"/>
        </w:rPr>
        <w:t xml:space="preserve"> </w:t>
      </w:r>
      <w:r>
        <w:rPr>
          <w:sz w:val="24"/>
          <w:lang w:val="es-AR"/>
        </w:rPr>
        <w:t>,</w:t>
      </w:r>
      <w:proofErr w:type="gramEnd"/>
      <w:r>
        <w:rPr>
          <w:sz w:val="24"/>
          <w:lang w:val="es-AR"/>
        </w:rPr>
        <w:t xml:space="preserve"> Incrementos y Disminuciones, según se explica en las “Instrucciones para la confección del cuadro”.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>Los importes correspondientes a DISMINUCIONES, en todos los casos deberán exponerse con signo positivo (+).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lastRenderedPageBreak/>
        <w:t xml:space="preserve">Los importes correspondientes a la columna “Saldos al </w:t>
      </w:r>
      <w:r>
        <w:rPr>
          <w:rFonts w:ascii="Times New (W1)" w:hAnsi="Times New (W1)" w:cs="Arial"/>
          <w:sz w:val="24"/>
          <w:szCs w:val="22"/>
        </w:rPr>
        <w:t xml:space="preserve">31 de diciembre del ejercicio que se </w:t>
      </w:r>
      <w:proofErr w:type="gramStart"/>
      <w:r>
        <w:rPr>
          <w:rFonts w:ascii="Times New (W1)" w:hAnsi="Times New (W1)" w:cs="Arial"/>
          <w:sz w:val="24"/>
          <w:szCs w:val="22"/>
        </w:rPr>
        <w:t>cierra</w:t>
      </w:r>
      <w:r>
        <w:rPr>
          <w:rFonts w:ascii="Times New (W1)" w:hAnsi="Times New (W1)" w:cs="Arial"/>
          <w:sz w:val="24"/>
          <w:szCs w:val="22"/>
          <w:lang w:val="es-AR"/>
        </w:rPr>
        <w:t xml:space="preserve"> </w:t>
      </w:r>
      <w:r>
        <w:rPr>
          <w:sz w:val="24"/>
          <w:lang w:val="es-AR"/>
        </w:rPr>
        <w:t>”</w:t>
      </w:r>
      <w:proofErr w:type="gramEnd"/>
      <w:r>
        <w:rPr>
          <w:sz w:val="24"/>
          <w:lang w:val="es-AR"/>
        </w:rPr>
        <w:t xml:space="preserve">, y a las filas “Totales” se calculan automáticamente a partir de la información ingresada en la desagregación de Saldos al </w:t>
      </w:r>
      <w:r>
        <w:rPr>
          <w:rFonts w:ascii="Times New (W1)" w:hAnsi="Times New (W1)" w:cs="Arial"/>
          <w:sz w:val="24"/>
          <w:szCs w:val="22"/>
        </w:rPr>
        <w:t>31 de diciembre del ejercicio anterior al que se cierra</w:t>
      </w:r>
      <w:r>
        <w:rPr>
          <w:rFonts w:ascii="Times New (W1)" w:hAnsi="Times New (W1)" w:cs="Arial"/>
          <w:sz w:val="24"/>
          <w:szCs w:val="22"/>
          <w:lang w:val="es-AR"/>
        </w:rPr>
        <w:t xml:space="preserve"> </w:t>
      </w:r>
      <w:r>
        <w:rPr>
          <w:sz w:val="24"/>
          <w:lang w:val="es-AR"/>
        </w:rPr>
        <w:t xml:space="preserve"> y en el detalle de Incrementos y Disminuciones.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 xml:space="preserve">El detalle de movimientos por beneficiario, deberá ordenarse en forma decreciente, en base al Saldo al </w:t>
      </w:r>
      <w:r>
        <w:rPr>
          <w:rFonts w:ascii="Times New (W1)" w:hAnsi="Times New (W1)" w:cs="Arial"/>
          <w:sz w:val="24"/>
          <w:szCs w:val="22"/>
        </w:rPr>
        <w:t>31 de diciembre del ejercicio que se cierra</w:t>
      </w:r>
      <w:r>
        <w:rPr>
          <w:rFonts w:ascii="Times New (W1)" w:hAnsi="Times New (W1)" w:cs="Arial"/>
          <w:sz w:val="24"/>
          <w:szCs w:val="22"/>
          <w:lang w:val="es-AR"/>
        </w:rPr>
        <w:t xml:space="preserve"> </w:t>
      </w:r>
      <w:r>
        <w:rPr>
          <w:sz w:val="24"/>
          <w:lang w:val="es-AR"/>
        </w:rPr>
        <w:t xml:space="preserve"> que arroje cada uno.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>Las Hojas “AXT 711-H.1” a “AXT 711-H.3” representan 3 (tres) páginas de un mismo anexo denominado “AXT 711”, por lo que el Organismo deberá comenzar por ingresar información en la Hoja “AXT 711-H.1” y, en caso de completar la totalidad de líneas de la misma, continuar por la Hoja “AXT 711-H.2” y así sucesivamente.</w:t>
      </w:r>
    </w:p>
    <w:p w:rsidR="006D7BA1" w:rsidRDefault="006D7BA1" w:rsidP="006D7BA1">
      <w:pPr>
        <w:ind w:left="360"/>
        <w:jc w:val="both"/>
        <w:rPr>
          <w:sz w:val="24"/>
          <w:lang w:val="es-AR"/>
        </w:rPr>
      </w:pPr>
      <w:r>
        <w:rPr>
          <w:sz w:val="24"/>
          <w:lang w:val="es-AR"/>
        </w:rPr>
        <w:t>De estas 3 (tres) Hojas, sólo deberán imprimirse y presentarse ante la Contaduría General de la Nación aquéllas que hayan sido utilizadas.</w:t>
      </w:r>
    </w:p>
    <w:p w:rsidR="006D7BA1" w:rsidRDefault="006D7BA1" w:rsidP="006D7BA1">
      <w:pPr>
        <w:numPr>
          <w:ilvl w:val="0"/>
          <w:numId w:val="1"/>
        </w:numPr>
        <w:jc w:val="both"/>
        <w:rPr>
          <w:sz w:val="24"/>
          <w:lang w:val="es-AR"/>
        </w:rPr>
      </w:pPr>
      <w:r>
        <w:rPr>
          <w:sz w:val="24"/>
          <w:lang w:val="es-AR"/>
        </w:rPr>
        <w:t xml:space="preserve">En los anexos correspondientes a los AXT, deberán desagregarse los movimientos por beneficiario hasta el importe (sumatoria de Saldos al </w:t>
      </w:r>
      <w:r>
        <w:rPr>
          <w:rFonts w:ascii="Times New (W1)" w:hAnsi="Times New (W1)" w:cs="Arial"/>
          <w:sz w:val="24"/>
          <w:szCs w:val="22"/>
        </w:rPr>
        <w:t>31 de diciembre del ejercicio que se cierra</w:t>
      </w:r>
      <w:r>
        <w:rPr>
          <w:rFonts w:ascii="Times New (W1)" w:hAnsi="Times New (W1)" w:cs="Arial"/>
          <w:sz w:val="24"/>
          <w:szCs w:val="22"/>
          <w:lang w:val="es-AR"/>
        </w:rPr>
        <w:t xml:space="preserve"> </w:t>
      </w:r>
      <w:r>
        <w:rPr>
          <w:sz w:val="24"/>
          <w:lang w:val="es-AR"/>
        </w:rPr>
        <w:t xml:space="preserve"> desagregados) que represente no menos del 90% (noventa por ciento) del Saldo Total a esa fecha, o hasta completar la cantidad de 84 (ochenta y cuatro) beneficiarios informados, lo que ocurra primero; en ambos casos, deberán ordenarse en forma decreciente, comenzando por el beneficiario de mayor Saldo al </w:t>
      </w:r>
      <w:r>
        <w:rPr>
          <w:rFonts w:ascii="Times New (W1)" w:hAnsi="Times New (W1)" w:cs="Arial"/>
          <w:sz w:val="24"/>
          <w:szCs w:val="22"/>
        </w:rPr>
        <w:t>31 de diciembre del ejercicio que se cierra</w:t>
      </w:r>
      <w:r>
        <w:rPr>
          <w:rFonts w:ascii="Times New (W1)" w:hAnsi="Times New (W1)" w:cs="Arial"/>
          <w:sz w:val="24"/>
          <w:szCs w:val="22"/>
          <w:lang w:val="es-AR"/>
        </w:rPr>
        <w:t xml:space="preserve"> </w:t>
      </w:r>
      <w:r>
        <w:rPr>
          <w:sz w:val="24"/>
          <w:lang w:val="es-AR"/>
        </w:rPr>
        <w:t>. El importe complementario podrá informarse en una línea, indicando como código de beneficiario “RESTO”.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1"/>
      </w:pPr>
      <w:r>
        <w:t>Instrucciones para la confección del Cuadro 3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2"/>
      </w:pPr>
      <w:r>
        <w:t>1. DESCRIPCIÓN DEL FONDO Y/O VALOR DE TERCERO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Identificación del tipo de Fondo o Valor de Tercero cuyos movimientos se exponen, excepto para los casos de los AXT 711, 712 y 725, cuyos movimientos se alimentan en forma automática a partir de la información ingresada en los Anexos correspondientes.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Solamente se describirán los Fondos monetarios de Terceros que no se incluyan en los Anexos AXT 711, 712 y 725, mientras que los Valores de Terceros se encuentran limitados a las descripciones establecidas, a saber: Pagarés, Pólizas de seguros, Títulos y Otros (estos deberán detallarse en nota anexa al Cuadro).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A estos efectos, las retenciones devengadas a partir del código de deducción 3 “Fondos en Garantía” consignado en las respectivas Órdenes de Pago, se considerarán parte integrante de los incrementos correspondientes al AXT 711.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jc w:val="both"/>
        <w:rPr>
          <w:b/>
          <w:sz w:val="24"/>
          <w:lang w:val="es-AR"/>
        </w:rPr>
      </w:pPr>
      <w:r>
        <w:rPr>
          <w:b/>
          <w:sz w:val="24"/>
          <w:lang w:val="es-AR"/>
        </w:rPr>
        <w:t xml:space="preserve">2. SALDO AL </w:t>
      </w:r>
      <w:r w:rsidRPr="00BF53F2">
        <w:rPr>
          <w:rFonts w:ascii="Times New (W1)" w:hAnsi="Times New (W1)" w:cs="Arial"/>
          <w:b/>
          <w:bCs/>
          <w:sz w:val="24"/>
          <w:szCs w:val="22"/>
        </w:rPr>
        <w:t>31 DE DICIEMBRE DEL EJERCICIO ANTERIOR AL QUE SE CIERRA</w:t>
      </w:r>
      <w:r>
        <w:rPr>
          <w:rFonts w:ascii="Times New (W1)" w:hAnsi="Times New (W1)" w:cs="Arial"/>
          <w:sz w:val="24"/>
          <w:szCs w:val="22"/>
          <w:lang w:val="es-AR"/>
        </w:rPr>
        <w:t xml:space="preserve"> 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Total de fondos y valores de terceros y en garantía, pendientes de devolución al cierre del ejercicio anterior, desagregados a nivel de cada tipo de Fondo y Valor de Tercero.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En aquellos casos en que al cierre del ejercicio anterior se hubiere emitido la Orden de Pago respectiva y la misma no hubiera sido cancelada, se considerará que ha operado la devolución a su beneficiario.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2"/>
      </w:pPr>
      <w:r>
        <w:t>3. INCREMENTOS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Total de ingresos de fondos de terceros y en garantía, verificados durante el período, desagregados a nivel de cada tipo de Fondo y Valor de Tercero.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2"/>
      </w:pPr>
      <w:r>
        <w:lastRenderedPageBreak/>
        <w:t>4. DISMINUCIONES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Total de disminuciones de fondos de terceros y en garantía, verificadas durante el período en base a las Órdenes de Pago emitidas, independientemente de haberse cancelado las mismas durante el ejercicio, desagregadas a nivel de cada tipo de Fondo y Valor de Tercero.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1"/>
      </w:pPr>
      <w:r>
        <w:t>Instrucciones para la confección de los Cuadros 3, Anexos 711, 712 y 725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2"/>
      </w:pPr>
      <w:r>
        <w:t>1. CÓDIGO DE BENEFICIARIO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Código, según la Tabla de Beneficiarios de Pagos del SIDIF, correspondiente al “tercero dueño” de los fondos cuya tenencia ostenta el Servicio Administrativo-Financiero.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En caso de no encontrarse registrado en dicha Tabla el tercero en cuestión, se indicará un código ficticio de 8 dígitos, conformado de la siguiente manera (tres primeros dígitos: código de SAF; siguientes 5 dígitos: numeración correlativa a contar desde 00001). Así, en caso de informarse 3 (tres) terceros no relevados en la Tabla de Beneficiarios, y siendo el SAF el 399, se indicarán los códigos 39900001, 39900002 y 39900003.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 xml:space="preserve">Asimismo, en nota anexa deberá indicarse, para cada uno de los códigos ficticios que se informen: Apellido y Nombres </w:t>
      </w:r>
      <w:proofErr w:type="spellStart"/>
      <w:r>
        <w:rPr>
          <w:sz w:val="24"/>
          <w:lang w:val="es-AR"/>
        </w:rPr>
        <w:t>ó</w:t>
      </w:r>
      <w:proofErr w:type="spellEnd"/>
      <w:r>
        <w:rPr>
          <w:sz w:val="24"/>
          <w:lang w:val="es-AR"/>
        </w:rPr>
        <w:t xml:space="preserve"> Razón Social; CUIT, CUIL, CDI </w:t>
      </w:r>
      <w:proofErr w:type="spellStart"/>
      <w:r>
        <w:rPr>
          <w:sz w:val="24"/>
          <w:lang w:val="es-AR"/>
        </w:rPr>
        <w:t>ó</w:t>
      </w:r>
      <w:proofErr w:type="spellEnd"/>
      <w:r>
        <w:rPr>
          <w:sz w:val="24"/>
          <w:lang w:val="es-AR"/>
        </w:rPr>
        <w:t xml:space="preserve"> DNI.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jc w:val="both"/>
        <w:rPr>
          <w:b/>
          <w:sz w:val="24"/>
          <w:lang w:val="es-AR"/>
        </w:rPr>
      </w:pPr>
      <w:r>
        <w:rPr>
          <w:b/>
          <w:sz w:val="24"/>
          <w:lang w:val="es-AR"/>
        </w:rPr>
        <w:t xml:space="preserve">2. SALDO AL </w:t>
      </w:r>
      <w:r>
        <w:rPr>
          <w:rFonts w:ascii="Times New (W1)" w:hAnsi="Times New (W1)" w:cs="Arial"/>
          <w:b/>
          <w:bCs/>
          <w:sz w:val="24"/>
          <w:szCs w:val="22"/>
        </w:rPr>
        <w:t>31 DE DICIEMBRE DEL EJERCICIO ANTERIOR AL QUE SE CIERRA</w:t>
      </w:r>
      <w:r>
        <w:rPr>
          <w:rFonts w:ascii="Times New (W1)" w:hAnsi="Times New (W1)" w:cs="Arial"/>
          <w:sz w:val="24"/>
          <w:szCs w:val="22"/>
          <w:lang w:val="es-AR"/>
        </w:rPr>
        <w:t xml:space="preserve"> 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Total de fondos de terceros y en garantía, pendientes de devolución al cierre del ejercicio anterior, desagregados a nivel de cada código de beneficiario.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En aquellos casos en que al cierre del ejercicio anterior se hubiere emitido la Orden de Pago respectiva y la misma no hubiera sido cancelada, se considerará que ha operado la devolución a su beneficiario.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2"/>
      </w:pPr>
      <w:r>
        <w:t>3. INCREMENTOS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Total de ingresos de fondos de terceros y en garantía, verificados durante el período, desagregados a nivel de cada código de beneficiario.</w:t>
      </w:r>
    </w:p>
    <w:p w:rsidR="006D7BA1" w:rsidRDefault="006D7BA1" w:rsidP="006D7BA1">
      <w:pPr>
        <w:jc w:val="both"/>
        <w:rPr>
          <w:sz w:val="24"/>
          <w:lang w:val="es-AR"/>
        </w:rPr>
      </w:pPr>
    </w:p>
    <w:p w:rsidR="006D7BA1" w:rsidRDefault="006D7BA1" w:rsidP="006D7BA1">
      <w:pPr>
        <w:pStyle w:val="Ttulo2"/>
      </w:pPr>
      <w:r>
        <w:t>4. DISMINUCIONES</w:t>
      </w:r>
    </w:p>
    <w:p w:rsidR="006D7BA1" w:rsidRDefault="006D7BA1" w:rsidP="006D7BA1">
      <w:pPr>
        <w:jc w:val="both"/>
        <w:rPr>
          <w:sz w:val="24"/>
          <w:lang w:val="es-AR"/>
        </w:rPr>
      </w:pPr>
      <w:r>
        <w:rPr>
          <w:sz w:val="24"/>
          <w:lang w:val="es-AR"/>
        </w:rPr>
        <w:t>Total de disminuciones de fondos de terceros y en garantía, verificadas durante el período en base a las Órdenes de Pago emitidas, independientemente de haberse cancelado las mismas durante el ejercicio, desagregadas a nivel de cada código de beneficiario.</w:t>
      </w:r>
    </w:p>
    <w:p w:rsidR="00113406" w:rsidRPr="006D7BA1" w:rsidRDefault="006D7BA1">
      <w:pPr>
        <w:rPr>
          <w:lang w:val="es-AR"/>
        </w:rPr>
      </w:pPr>
    </w:p>
    <w:sectPr w:rsidR="00113406" w:rsidRPr="006D7BA1" w:rsidSect="001A044D">
      <w:headerReference w:type="default" r:id="rId8"/>
      <w:pgSz w:w="12242" w:h="15842" w:code="1"/>
      <w:pgMar w:top="1418" w:right="1701" w:bottom="1418" w:left="170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BA1" w:rsidRDefault="006D7BA1" w:rsidP="00CC0A27">
      <w:r>
        <w:separator/>
      </w:r>
    </w:p>
  </w:endnote>
  <w:endnote w:type="continuationSeparator" w:id="0">
    <w:p w:rsidR="006D7BA1" w:rsidRDefault="006D7BA1" w:rsidP="00CC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BA1" w:rsidRDefault="006D7BA1" w:rsidP="00CC0A27">
      <w:r>
        <w:separator/>
      </w:r>
    </w:p>
  </w:footnote>
  <w:footnote w:type="continuationSeparator" w:id="0">
    <w:p w:rsidR="006D7BA1" w:rsidRDefault="006D7BA1" w:rsidP="00CC0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A1" w:rsidRDefault="006D7BA1" w:rsidP="006D7BA1">
    <w:pPr>
      <w:pStyle w:val="Encabezado"/>
      <w:jc w:val="right"/>
      <w:rPr>
        <w:b/>
        <w:sz w:val="24"/>
        <w:lang w:val="es-AR"/>
      </w:rPr>
    </w:pPr>
    <w:r>
      <w:rPr>
        <w:b/>
        <w:sz w:val="24"/>
        <w:lang w:val="es-AR"/>
      </w:rPr>
      <w:t>CUADRO 3</w:t>
    </w:r>
  </w:p>
  <w:p w:rsidR="006D7BA1" w:rsidRDefault="006D7BA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6676"/>
    <w:multiLevelType w:val="singleLevel"/>
    <w:tmpl w:val="2092D5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A1"/>
    <w:rsid w:val="00075C05"/>
    <w:rsid w:val="001A044D"/>
    <w:rsid w:val="001E7B3D"/>
    <w:rsid w:val="00296995"/>
    <w:rsid w:val="00336247"/>
    <w:rsid w:val="00341288"/>
    <w:rsid w:val="003B7C5B"/>
    <w:rsid w:val="004211AE"/>
    <w:rsid w:val="004740CF"/>
    <w:rsid w:val="004D667A"/>
    <w:rsid w:val="00501E47"/>
    <w:rsid w:val="00511D88"/>
    <w:rsid w:val="005F640A"/>
    <w:rsid w:val="0066455C"/>
    <w:rsid w:val="006D7BA1"/>
    <w:rsid w:val="006F7634"/>
    <w:rsid w:val="0070561B"/>
    <w:rsid w:val="0077593C"/>
    <w:rsid w:val="008118F7"/>
    <w:rsid w:val="008A156B"/>
    <w:rsid w:val="009A11E3"/>
    <w:rsid w:val="009A3EB6"/>
    <w:rsid w:val="009B7591"/>
    <w:rsid w:val="00B91156"/>
    <w:rsid w:val="00BE51B6"/>
    <w:rsid w:val="00C37D5E"/>
    <w:rsid w:val="00C52A86"/>
    <w:rsid w:val="00CC0A27"/>
    <w:rsid w:val="00CD0410"/>
    <w:rsid w:val="00CF4E0F"/>
    <w:rsid w:val="00D35049"/>
    <w:rsid w:val="00D567FC"/>
    <w:rsid w:val="00D80472"/>
    <w:rsid w:val="00E21501"/>
    <w:rsid w:val="00F24F92"/>
    <w:rsid w:val="00FB446E"/>
    <w:rsid w:val="00FC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A1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6D7BA1"/>
    <w:pPr>
      <w:keepNext/>
      <w:pBdr>
        <w:bottom w:val="single" w:sz="4" w:space="1" w:color="auto"/>
      </w:pBdr>
      <w:jc w:val="both"/>
      <w:outlineLvl w:val="0"/>
    </w:pPr>
    <w:rPr>
      <w:b/>
      <w:sz w:val="24"/>
      <w:lang w:val="es-AR"/>
    </w:rPr>
  </w:style>
  <w:style w:type="paragraph" w:styleId="Ttulo2">
    <w:name w:val="heading 2"/>
    <w:basedOn w:val="Normal"/>
    <w:next w:val="Normal"/>
    <w:link w:val="Ttulo2Car"/>
    <w:qFormat/>
    <w:rsid w:val="006D7BA1"/>
    <w:pPr>
      <w:keepNext/>
      <w:jc w:val="both"/>
      <w:outlineLvl w:val="1"/>
    </w:pPr>
    <w:rPr>
      <w:b/>
      <w:sz w:val="24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6D7BA1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2Car">
    <w:name w:val="Título 2 Car"/>
    <w:basedOn w:val="Fuentedeprrafopredeter"/>
    <w:link w:val="Ttulo2"/>
    <w:rsid w:val="006D7BA1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paragraph" w:styleId="Sangradetextonormal">
    <w:name w:val="Body Text Indent"/>
    <w:basedOn w:val="Normal"/>
    <w:link w:val="SangradetextonormalCar"/>
    <w:semiHidden/>
    <w:rsid w:val="006D7BA1"/>
    <w:pPr>
      <w:ind w:firstLine="708"/>
      <w:jc w:val="both"/>
    </w:pPr>
    <w:rPr>
      <w:sz w:val="24"/>
      <w:lang w:val="es-AR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6D7BA1"/>
    <w:rPr>
      <w:rFonts w:ascii="Times New Roman" w:eastAsia="Times New Roman" w:hAnsi="Times New Roman" w:cs="Times New Roman"/>
      <w:sz w:val="24"/>
      <w:szCs w:val="20"/>
      <w:lang w:val="es-AR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A1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6D7BA1"/>
    <w:pPr>
      <w:keepNext/>
      <w:pBdr>
        <w:bottom w:val="single" w:sz="4" w:space="1" w:color="auto"/>
      </w:pBdr>
      <w:jc w:val="both"/>
      <w:outlineLvl w:val="0"/>
    </w:pPr>
    <w:rPr>
      <w:b/>
      <w:sz w:val="24"/>
      <w:lang w:val="es-AR"/>
    </w:rPr>
  </w:style>
  <w:style w:type="paragraph" w:styleId="Ttulo2">
    <w:name w:val="heading 2"/>
    <w:basedOn w:val="Normal"/>
    <w:next w:val="Normal"/>
    <w:link w:val="Ttulo2Car"/>
    <w:qFormat/>
    <w:rsid w:val="006D7BA1"/>
    <w:pPr>
      <w:keepNext/>
      <w:jc w:val="both"/>
      <w:outlineLvl w:val="1"/>
    </w:pPr>
    <w:rPr>
      <w:b/>
      <w:sz w:val="24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6D7BA1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2Car">
    <w:name w:val="Título 2 Car"/>
    <w:basedOn w:val="Fuentedeprrafopredeter"/>
    <w:link w:val="Ttulo2"/>
    <w:rsid w:val="006D7BA1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paragraph" w:styleId="Sangradetextonormal">
    <w:name w:val="Body Text Indent"/>
    <w:basedOn w:val="Normal"/>
    <w:link w:val="SangradetextonormalCar"/>
    <w:semiHidden/>
    <w:rsid w:val="006D7BA1"/>
    <w:pPr>
      <w:ind w:firstLine="708"/>
      <w:jc w:val="both"/>
    </w:pPr>
    <w:rPr>
      <w:sz w:val="24"/>
      <w:lang w:val="es-AR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6D7BA1"/>
    <w:rPr>
      <w:rFonts w:ascii="Times New Roman" w:eastAsia="Times New Roman" w:hAnsi="Times New Roman" w:cs="Times New Roman"/>
      <w:sz w:val="24"/>
      <w:szCs w:val="20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1168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Cosentino</dc:creator>
  <cp:lastModifiedBy>Susana Cosentino</cp:lastModifiedBy>
  <cp:revision>1</cp:revision>
  <dcterms:created xsi:type="dcterms:W3CDTF">2019-01-08T19:28:00Z</dcterms:created>
  <dcterms:modified xsi:type="dcterms:W3CDTF">2019-01-08T19:31:00Z</dcterms:modified>
</cp:coreProperties>
</file>