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49.89990234375" w:line="240" w:lineRule="auto"/>
        <w:ind w:right="-40.866141732282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ANEXO IV </w:t>
      </w:r>
    </w:p>
    <w:p w:rsidR="00000000" w:rsidDel="00000000" w:rsidP="00000000" w:rsidRDefault="00000000" w:rsidRPr="00000000" w14:paraId="00000002">
      <w:pPr>
        <w:widowControl w:val="0"/>
        <w:spacing w:before="267.919921875" w:line="263.22778701782227" w:lineRule="auto"/>
        <w:ind w:right="-40.866141732282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GRILLA DE EVALUACIÓN</w:t>
      </w:r>
    </w:p>
    <w:tbl>
      <w:tblPr>
        <w:tblStyle w:val="Table1"/>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50.754979157018"/>
        <w:gridCol w:w="1474.7568318666051"/>
        <w:tblGridChange w:id="0">
          <w:tblGrid>
            <w:gridCol w:w="7550.754979157018"/>
            <w:gridCol w:w="1474.7568318666051"/>
          </w:tblGrid>
        </w:tblGridChange>
      </w:tblGrid>
      <w:tr>
        <w:trPr>
          <w:cantSplit w:val="0"/>
          <w:trHeight w:val="315" w:hRule="atLeast"/>
          <w:tblHeader w:val="0"/>
        </w:trPr>
        <w:tc>
          <w:tcPr>
            <w:gridSpan w:val="2"/>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03">
            <w:pPr>
              <w:widowControl w:val="0"/>
              <w:spacing w:line="276" w:lineRule="auto"/>
              <w:jc w:val="center"/>
              <w:rPr>
                <w:sz w:val="20"/>
                <w:szCs w:val="20"/>
              </w:rPr>
            </w:pPr>
            <w:r w:rsidDel="00000000" w:rsidR="00000000" w:rsidRPr="00000000">
              <w:rPr>
                <w:rtl w:val="0"/>
              </w:rPr>
            </w:r>
          </w:p>
        </w:tc>
      </w:tr>
      <w:tr>
        <w:trPr>
          <w:cantSplit w:val="0"/>
          <w:trHeight w:val="345" w:hRule="atLeast"/>
          <w:tblHeader w:val="0"/>
        </w:trPr>
        <w:tc>
          <w:tcPr>
            <w:tcBorders>
              <w:top w:color="000000" w:space="0" w:sz="0" w:val="nil"/>
              <w:left w:color="000000" w:space="0" w:sz="0" w:val="nil"/>
              <w:bottom w:color="000000" w:space="0" w:sz="4" w:val="single"/>
              <w:right w:color="000000" w:space="0" w:sz="0" w:val="nil"/>
            </w:tcBorders>
            <w:shd w:fill="666666" w:val="clear"/>
            <w:tcMar>
              <w:top w:w="40.0" w:type="dxa"/>
              <w:left w:w="40.0" w:type="dxa"/>
              <w:bottom w:w="40.0" w:type="dxa"/>
              <w:right w:w="40.0" w:type="dxa"/>
            </w:tcMar>
            <w:vAlign w:val="bottom"/>
          </w:tcPr>
          <w:p w:rsidR="00000000" w:rsidDel="00000000" w:rsidP="00000000" w:rsidRDefault="00000000" w:rsidRPr="00000000" w14:paraId="00000005">
            <w:pPr>
              <w:widowControl w:val="0"/>
              <w:spacing w:line="276" w:lineRule="auto"/>
              <w:rPr>
                <w:sz w:val="20"/>
                <w:szCs w:val="20"/>
              </w:rPr>
            </w:pPr>
            <w:r w:rsidDel="00000000" w:rsidR="00000000" w:rsidRPr="00000000">
              <w:rPr>
                <w:rFonts w:ascii="Calibri" w:cs="Calibri" w:eastAsia="Calibri" w:hAnsi="Calibri"/>
                <w:b w:val="1"/>
                <w:color w:val="ffffff"/>
                <w:sz w:val="20"/>
                <w:szCs w:val="20"/>
                <w:rtl w:val="0"/>
              </w:rPr>
              <w:t xml:space="preserve">VARIABLE</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666666" w:val="clear"/>
            <w:tcMar>
              <w:top w:w="40.0" w:type="dxa"/>
              <w:left w:w="40.0" w:type="dxa"/>
              <w:bottom w:w="40.0" w:type="dxa"/>
              <w:right w:w="40.0" w:type="dxa"/>
            </w:tcMar>
            <w:vAlign w:val="bottom"/>
          </w:tcPr>
          <w:p w:rsidR="00000000" w:rsidDel="00000000" w:rsidP="00000000" w:rsidRDefault="00000000" w:rsidRPr="00000000" w14:paraId="00000006">
            <w:pPr>
              <w:widowControl w:val="0"/>
              <w:spacing w:line="276" w:lineRule="auto"/>
              <w:jc w:val="center"/>
              <w:rPr>
                <w:sz w:val="20"/>
                <w:szCs w:val="20"/>
              </w:rPr>
            </w:pPr>
            <w:r w:rsidDel="00000000" w:rsidR="00000000" w:rsidRPr="00000000">
              <w:rPr>
                <w:rFonts w:ascii="Calibri" w:cs="Calibri" w:eastAsia="Calibri" w:hAnsi="Calibri"/>
                <w:color w:val="ffffff"/>
                <w:rtl w:val="0"/>
              </w:rPr>
              <w:t xml:space="preserve">PUNTOS</w:t>
            </w:r>
            <w:r w:rsidDel="00000000" w:rsidR="00000000" w:rsidRPr="00000000">
              <w:rPr>
                <w:rtl w:val="0"/>
              </w:rPr>
            </w:r>
          </w:p>
        </w:tc>
      </w:tr>
      <w:tr>
        <w:trPr>
          <w:cantSplit w:val="0"/>
          <w:trHeight w:val="315" w:hRule="atLeast"/>
          <w:tblHeader w:val="0"/>
        </w:trPr>
        <w:tc>
          <w:tcPr>
            <w:gridSpan w:val="2"/>
            <w:tcBorders>
              <w:top w:color="000000" w:space="0" w:sz="0" w:val="nil"/>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007">
            <w:pPr>
              <w:widowControl w:val="0"/>
              <w:spacing w:line="276" w:lineRule="auto"/>
              <w:rPr>
                <w:sz w:val="20"/>
                <w:szCs w:val="20"/>
              </w:rPr>
            </w:pPr>
            <w:r w:rsidDel="00000000" w:rsidR="00000000" w:rsidRPr="00000000">
              <w:rPr>
                <w:rFonts w:ascii="Calibri" w:cs="Calibri" w:eastAsia="Calibri" w:hAnsi="Calibri"/>
                <w:b w:val="1"/>
                <w:color w:val="231f20"/>
                <w:sz w:val="20"/>
                <w:szCs w:val="20"/>
                <w:rtl w:val="0"/>
              </w:rPr>
              <w:t xml:space="preserve">TIPO DE INVERSIÓN</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09">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Sólo amplía capacidad instalada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0A">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15</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0B">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Realiza mejoras en procesos o incorpora nuevos procesos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0C">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30</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0D">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Realiza mejoras en productos y en procesos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0E">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35</w:t>
            </w:r>
            <w:r w:rsidDel="00000000" w:rsidR="00000000" w:rsidRPr="00000000">
              <w:rPr>
                <w:rtl w:val="0"/>
              </w:rPr>
            </w:r>
          </w:p>
        </w:tc>
      </w:tr>
      <w:tr>
        <w:trPr>
          <w:cantSplit w:val="0"/>
          <w:trHeight w:val="315" w:hRule="atLeast"/>
          <w:tblHeader w:val="0"/>
        </w:trPr>
        <w:tc>
          <w:tcPr>
            <w:gridSpan w:val="2"/>
            <w:tcBorders>
              <w:top w:color="000000" w:space="0" w:sz="0" w:val="nil"/>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00F">
            <w:pPr>
              <w:widowControl w:val="0"/>
              <w:spacing w:line="276" w:lineRule="auto"/>
              <w:rPr>
                <w:sz w:val="20"/>
                <w:szCs w:val="20"/>
              </w:rPr>
            </w:pPr>
            <w:r w:rsidDel="00000000" w:rsidR="00000000" w:rsidRPr="00000000">
              <w:rPr>
                <w:rFonts w:ascii="Calibri" w:cs="Calibri" w:eastAsia="Calibri" w:hAnsi="Calibri"/>
                <w:b w:val="1"/>
                <w:color w:val="231f20"/>
                <w:sz w:val="20"/>
                <w:szCs w:val="20"/>
                <w:rtl w:val="0"/>
              </w:rPr>
              <w:t xml:space="preserve">EXPORTACIONES: COMPLEJIDAD Y VENTAJAS COMPARATIVAS REVELADAS</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1">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Valor (1)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2">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0-20</w:t>
            </w:r>
            <w:r w:rsidDel="00000000" w:rsidR="00000000" w:rsidRPr="00000000">
              <w:rPr>
                <w:rtl w:val="0"/>
              </w:rPr>
            </w:r>
          </w:p>
        </w:tc>
      </w:tr>
      <w:tr>
        <w:trPr>
          <w:cantSplit w:val="0"/>
          <w:trHeight w:val="315" w:hRule="atLeast"/>
          <w:tblHeader w:val="0"/>
        </w:trPr>
        <w:tc>
          <w:tcPr>
            <w:gridSpan w:val="2"/>
            <w:tcBorders>
              <w:top w:color="000000" w:space="0" w:sz="0" w:val="nil"/>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013">
            <w:pPr>
              <w:widowControl w:val="0"/>
              <w:spacing w:line="276" w:lineRule="auto"/>
              <w:rPr>
                <w:sz w:val="20"/>
                <w:szCs w:val="20"/>
              </w:rPr>
            </w:pPr>
            <w:r w:rsidDel="00000000" w:rsidR="00000000" w:rsidRPr="00000000">
              <w:rPr>
                <w:rFonts w:ascii="Calibri" w:cs="Calibri" w:eastAsia="Calibri" w:hAnsi="Calibri"/>
                <w:b w:val="1"/>
                <w:color w:val="231f20"/>
                <w:sz w:val="20"/>
                <w:szCs w:val="20"/>
                <w:rtl w:val="0"/>
              </w:rPr>
              <w:t xml:space="preserve">EXPORTACIONES TOTALES</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5">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Realizó exportaciones por un valor promedio de entre USD 10.000 y USD 100.000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16">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5</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7">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Realizó exportaciones por un valor promedio de entre USD 100.001 y USD 150.000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18">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10</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9">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Realizó exportaciones por un valor promedio superior a los USD 150.000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1A">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15</w:t>
            </w:r>
            <w:r w:rsidDel="00000000" w:rsidR="00000000" w:rsidRPr="00000000">
              <w:rPr>
                <w:rtl w:val="0"/>
              </w:rPr>
            </w:r>
          </w:p>
        </w:tc>
      </w:tr>
      <w:tr>
        <w:trPr>
          <w:cantSplit w:val="0"/>
          <w:trHeight w:val="315" w:hRule="atLeast"/>
          <w:tblHeader w:val="0"/>
        </w:trPr>
        <w:tc>
          <w:tcPr>
            <w:gridSpan w:val="2"/>
            <w:tcBorders>
              <w:top w:color="000000" w:space="0" w:sz="0" w:val="nil"/>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01B">
            <w:pPr>
              <w:widowControl w:val="0"/>
              <w:spacing w:line="276" w:lineRule="auto"/>
              <w:rPr>
                <w:sz w:val="20"/>
                <w:szCs w:val="20"/>
              </w:rPr>
            </w:pPr>
            <w:r w:rsidDel="00000000" w:rsidR="00000000" w:rsidRPr="00000000">
              <w:rPr>
                <w:rFonts w:ascii="Calibri" w:cs="Calibri" w:eastAsia="Calibri" w:hAnsi="Calibri"/>
                <w:b w:val="1"/>
                <w:color w:val="231f20"/>
                <w:sz w:val="20"/>
                <w:szCs w:val="20"/>
                <w:rtl w:val="0"/>
              </w:rPr>
              <w:t xml:space="preserve">MADUREZ TECNOLÓGICA</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D">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No incorpora tecnología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1E">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0</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1F">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Adquisición de maquinaria y equipo sin automatización ni flexibilización de los procesos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20">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10</w:t>
            </w:r>
            <w:r w:rsidDel="00000000" w:rsidR="00000000" w:rsidRPr="00000000">
              <w:rPr>
                <w:rtl w:val="0"/>
              </w:rPr>
            </w:r>
          </w:p>
        </w:tc>
      </w:tr>
      <w:tr>
        <w:trPr>
          <w:cantSplit w:val="0"/>
          <w:trHeight w:val="55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Adquisición de maquinaria y equipo con grado de automatización, flexibilización de los procesos e integración parcial de las áreas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22">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15</w:t>
            </w:r>
            <w:r w:rsidDel="00000000" w:rsidR="00000000" w:rsidRPr="00000000">
              <w:rPr>
                <w:rtl w:val="0"/>
              </w:rPr>
            </w:r>
          </w:p>
        </w:tc>
      </w:tr>
      <w:tr>
        <w:trPr>
          <w:cantSplit w:val="0"/>
          <w:trHeight w:val="79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23">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Implementación de sistemas de cuarta generación. Uso de las TICs de forma integrada, conectada e “inteligente”. Presencia de retroalimentación de información sobre operación para apoyar la toma de decisiones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24">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20</w:t>
            </w:r>
            <w:r w:rsidDel="00000000" w:rsidR="00000000" w:rsidRPr="00000000">
              <w:rPr>
                <w:rtl w:val="0"/>
              </w:rPr>
            </w:r>
          </w:p>
        </w:tc>
      </w:tr>
      <w:tr>
        <w:trPr>
          <w:cantSplit w:val="0"/>
          <w:trHeight w:val="315" w:hRule="atLeast"/>
          <w:tblHeader w:val="0"/>
        </w:trPr>
        <w:tc>
          <w:tcPr>
            <w:gridSpan w:val="2"/>
            <w:tcBorders>
              <w:top w:color="000000" w:space="0" w:sz="0" w:val="nil"/>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bottom"/>
          </w:tcPr>
          <w:p w:rsidR="00000000" w:rsidDel="00000000" w:rsidP="00000000" w:rsidRDefault="00000000" w:rsidRPr="00000000" w14:paraId="00000025">
            <w:pPr>
              <w:widowControl w:val="0"/>
              <w:spacing w:line="276" w:lineRule="auto"/>
              <w:rPr>
                <w:sz w:val="20"/>
                <w:szCs w:val="20"/>
              </w:rPr>
            </w:pPr>
            <w:r w:rsidDel="00000000" w:rsidR="00000000" w:rsidRPr="00000000">
              <w:rPr>
                <w:rFonts w:ascii="Calibri" w:cs="Calibri" w:eastAsia="Calibri" w:hAnsi="Calibri"/>
                <w:b w:val="1"/>
                <w:color w:val="231f20"/>
                <w:sz w:val="20"/>
                <w:szCs w:val="20"/>
                <w:rtl w:val="0"/>
              </w:rPr>
              <w:t xml:space="preserve">CAPACITACIÓN EN GÉNERO</w:t>
            </w:r>
            <w:r w:rsidDel="00000000" w:rsidR="00000000" w:rsidRPr="00000000">
              <w:rPr>
                <w:rtl w:val="0"/>
              </w:rPr>
            </w:r>
          </w:p>
        </w:tc>
      </w:tr>
      <w:tr>
        <w:trPr>
          <w:cantSplit w:val="0"/>
          <w:trHeight w:val="79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No se compromete a realizar la capacitación gratuita dictada por la Secretaría de Industria y Desarrollo Productivo (dos horas para trabajadores/as de planta y dos horas para el</w:t>
            </w:r>
          </w:p>
          <w:p w:rsidR="00000000" w:rsidDel="00000000" w:rsidP="00000000" w:rsidRDefault="00000000" w:rsidRPr="00000000" w14:paraId="00000028">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personal jerárquico).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29">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0</w:t>
            </w:r>
            <w:r w:rsidDel="00000000" w:rsidR="00000000" w:rsidRPr="00000000">
              <w:rPr>
                <w:rtl w:val="0"/>
              </w:rPr>
            </w:r>
          </w:p>
        </w:tc>
      </w:tr>
      <w:tr>
        <w:trPr>
          <w:cantSplit w:val="0"/>
          <w:trHeight w:val="79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Se compromete a realizar la capacitación gratuita dictada por la Secretaría de Industria y Desarrollo Productivo (dos horas para trabajadores/as de planta y dos horas para el</w:t>
            </w:r>
          </w:p>
          <w:p w:rsidR="00000000" w:rsidDel="00000000" w:rsidP="00000000" w:rsidRDefault="00000000" w:rsidRPr="00000000" w14:paraId="0000002B">
            <w:pPr>
              <w:widowControl w:val="0"/>
              <w:spacing w:line="276" w:lineRule="auto"/>
              <w:rPr>
                <w:sz w:val="20"/>
                <w:szCs w:val="20"/>
              </w:rPr>
            </w:pPr>
            <w:r w:rsidDel="00000000" w:rsidR="00000000" w:rsidRPr="00000000">
              <w:rPr>
                <w:rFonts w:ascii="Calibri" w:cs="Calibri" w:eastAsia="Calibri" w:hAnsi="Calibri"/>
                <w:color w:val="231f20"/>
                <w:sz w:val="20"/>
                <w:szCs w:val="20"/>
                <w:rtl w:val="0"/>
              </w:rPr>
              <w:t xml:space="preserve">personal jerárquico).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2C">
            <w:pPr>
              <w:widowControl w:val="0"/>
              <w:spacing w:line="276" w:lineRule="auto"/>
              <w:jc w:val="center"/>
              <w:rPr>
                <w:sz w:val="20"/>
                <w:szCs w:val="20"/>
              </w:rPr>
            </w:pPr>
            <w:r w:rsidDel="00000000" w:rsidR="00000000" w:rsidRPr="00000000">
              <w:rPr>
                <w:rFonts w:ascii="Calibri" w:cs="Calibri" w:eastAsia="Calibri" w:hAnsi="Calibri"/>
                <w:color w:val="231f20"/>
                <w:sz w:val="20"/>
                <w:szCs w:val="20"/>
                <w:rtl w:val="0"/>
              </w:rPr>
              <w:t xml:space="preserve">10</w:t>
            </w: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rPr>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2E">
            <w:pPr>
              <w:widowControl w:val="0"/>
              <w:spacing w:line="276" w:lineRule="auto"/>
              <w:rPr>
                <w:sz w:val="20"/>
                <w:szCs w:val="20"/>
              </w:rPr>
            </w:pPr>
            <w:r w:rsidDel="00000000" w:rsidR="00000000" w:rsidRPr="00000000">
              <w:rPr>
                <w:rtl w:val="0"/>
              </w:rPr>
            </w:r>
          </w:p>
        </w:tc>
      </w:tr>
    </w:tbl>
    <w:p w:rsidR="00000000" w:rsidDel="00000000" w:rsidP="00000000" w:rsidRDefault="00000000" w:rsidRPr="00000000" w14:paraId="0000002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widowControl w:val="0"/>
        <w:spacing w:line="240" w:lineRule="auto"/>
        <w:rPr>
          <w:rFonts w:ascii="Encode Sans" w:cs="Encode Sans" w:eastAsia="Encode Sans" w:hAnsi="Encode Sans"/>
          <w:b w:val="1"/>
        </w:rPr>
      </w:pPr>
      <w:r w:rsidDel="00000000" w:rsidR="00000000" w:rsidRPr="00000000">
        <w:rPr>
          <w:rtl w:val="0"/>
        </w:rPr>
      </w:r>
    </w:p>
    <w:tbl>
      <w:tblPr>
        <w:tblStyle w:val="Table2"/>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161"/>
        <w:tblGridChange w:id="0">
          <w:tblGrid>
            <w:gridCol w:w="9161"/>
          </w:tblGrid>
        </w:tblGridChange>
      </w:tblGrid>
    </w:tbl>
    <w:p w:rsidR="00000000" w:rsidDel="00000000" w:rsidP="00000000" w:rsidRDefault="00000000" w:rsidRPr="00000000" w14:paraId="00000031">
      <w:pPr>
        <w:widowControl w:val="0"/>
        <w:spacing w:line="240" w:lineRule="auto"/>
        <w:jc w:val="both"/>
        <w:rPr>
          <w:rFonts w:ascii="Calibri" w:cs="Calibri" w:eastAsia="Calibri" w:hAnsi="Calibri"/>
          <w:sz w:val="24"/>
          <w:szCs w:val="24"/>
        </w:rPr>
      </w:pPr>
      <w:r w:rsidDel="00000000" w:rsidR="00000000" w:rsidRPr="00000000">
        <w:br w:type="page"/>
      </w:r>
      <w:r w:rsidDel="00000000" w:rsidR="00000000" w:rsidRPr="00000000">
        <w:rPr>
          <w:rFonts w:ascii="Calibri" w:cs="Calibri" w:eastAsia="Calibri" w:hAnsi="Calibri"/>
          <w:rtl w:val="0"/>
        </w:rPr>
        <w:t xml:space="preserve">(1) </w:t>
      </w:r>
      <w:r w:rsidDel="00000000" w:rsidR="00000000" w:rsidRPr="00000000">
        <w:rPr>
          <w:rFonts w:ascii="Calibri" w:cs="Calibri" w:eastAsia="Calibri" w:hAnsi="Calibri"/>
          <w:sz w:val="24"/>
          <w:szCs w:val="24"/>
          <w:rtl w:val="0"/>
        </w:rPr>
        <w:t xml:space="preserve">Este criterio de evaluación tuvo en cuenta posiciones arancelarias a 6 dígitos de desagregación de la Nomenclatura Común del Mercosur (equivalente a HS2017) que fueron identificadas con potencial para complejizar la matriz productiva. Esto se llevó a cabo teniendo en cuenta conceptos como: ventajas comparativas reveladas, espacio del producto, complejidad económica, entre otros. Estas posiciones serán denominadas de ahora en adelante como: PAx. </w:t>
      </w:r>
    </w:p>
    <w:p w:rsidR="00000000" w:rsidDel="00000000" w:rsidP="00000000" w:rsidRDefault="00000000" w:rsidRPr="00000000" w14:paraId="00000032">
      <w:pPr>
        <w:spacing w:line="240" w:lineRule="auto"/>
        <w:jc w:val="both"/>
        <w:rPr>
          <w:rFonts w:ascii="Calibri" w:cs="Calibri" w:eastAsia="Calibri" w:hAnsi="Calibri"/>
          <w:color w:val="1f1f1f"/>
          <w:sz w:val="21"/>
          <w:szCs w:val="21"/>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33">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Luego, el valor asociado a esta variable de la grilla de evaluación consiste en un promedio ponderado que contempla tres indicadores basados en las PAx. </w:t>
      </w:r>
    </w:p>
    <w:p w:rsidR="00000000" w:rsidDel="00000000" w:rsidP="00000000" w:rsidRDefault="00000000" w:rsidRPr="00000000" w14:paraId="00000034">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spacing w:line="240" w:lineRule="auto"/>
        <w:jc w:val="both"/>
        <w:rPr>
          <w:rFonts w:ascii="Calibri" w:cs="Calibri" w:eastAsia="Calibri" w:hAnsi="Calibri"/>
          <w:sz w:val="24"/>
          <w:szCs w:val="24"/>
        </w:rPr>
      </w:pPr>
      <m:oMath>
        <m:r>
          <w:rPr>
            <w:rFonts w:ascii="Calibri" w:cs="Calibri" w:eastAsia="Calibri" w:hAnsi="Calibri"/>
            <w:sz w:val="24"/>
            <w:szCs w:val="24"/>
          </w:rPr>
          <m:t xml:space="preserve">Puntaje =[</m:t>
        </m:r>
        <m:d>
          <m:dPr>
            <m:begChr m:val="("/>
            <m:endChr m:val=")"/>
            <m:ctrlPr>
              <w:rPr>
                <w:rFonts w:ascii="Calibri" w:cs="Calibri" w:eastAsia="Calibri" w:hAnsi="Calibri"/>
                <w:sz w:val="24"/>
                <w:szCs w:val="24"/>
              </w:rPr>
            </m:ctrlPr>
          </m:dPr>
          <m:e>
            <m:r>
              <w:rPr>
                <w:rFonts w:ascii="Calibri" w:cs="Calibri" w:eastAsia="Calibri" w:hAnsi="Calibri"/>
                <w:sz w:val="24"/>
                <w:szCs w:val="24"/>
              </w:rPr>
              <m:t xml:space="preserve">0,6 Indicador 1</m:t>
            </m:r>
          </m:e>
        </m:d>
        <m:r>
          <w:rPr>
            <w:rFonts w:ascii="Calibri" w:cs="Calibri" w:eastAsia="Calibri" w:hAnsi="Calibri"/>
            <w:sz w:val="24"/>
            <w:szCs w:val="24"/>
          </w:rPr>
          <m:t xml:space="preserve">+</m:t>
        </m:r>
        <m:d>
          <m:dPr>
            <m:begChr m:val="("/>
            <m:endChr m:val=")"/>
            <m:ctrlPr>
              <w:rPr>
                <w:rFonts w:ascii="Calibri" w:cs="Calibri" w:eastAsia="Calibri" w:hAnsi="Calibri"/>
                <w:sz w:val="24"/>
                <w:szCs w:val="24"/>
              </w:rPr>
            </m:ctrlPr>
          </m:dPr>
          <m:e>
            <m:r>
              <w:rPr>
                <w:rFonts w:ascii="Calibri" w:cs="Calibri" w:eastAsia="Calibri" w:hAnsi="Calibri"/>
                <w:sz w:val="24"/>
                <w:szCs w:val="24"/>
              </w:rPr>
              <m:t xml:space="preserve">0,25 Indicador 2</m:t>
            </m:r>
          </m:e>
        </m:d>
        <m:r>
          <w:rPr>
            <w:rFonts w:ascii="Calibri" w:cs="Calibri" w:eastAsia="Calibri" w:hAnsi="Calibri"/>
            <w:sz w:val="24"/>
            <w:szCs w:val="24"/>
          </w:rPr>
          <m:t xml:space="preserve">+</m:t>
        </m:r>
        <m:d>
          <m:dPr>
            <m:begChr m:val="("/>
            <m:endChr m:val=")"/>
            <m:ctrlPr>
              <w:rPr>
                <w:rFonts w:ascii="Calibri" w:cs="Calibri" w:eastAsia="Calibri" w:hAnsi="Calibri"/>
                <w:sz w:val="24"/>
                <w:szCs w:val="24"/>
              </w:rPr>
            </m:ctrlPr>
          </m:dPr>
          <m:e>
            <m:r>
              <w:rPr>
                <w:rFonts w:ascii="Calibri" w:cs="Calibri" w:eastAsia="Calibri" w:hAnsi="Calibri"/>
                <w:sz w:val="24"/>
                <w:szCs w:val="24"/>
              </w:rPr>
              <m:t xml:space="preserve">0,15 Indicador 3</m:t>
            </m:r>
          </m:e>
        </m:d>
        <m:r>
          <w:rPr>
            <w:rFonts w:ascii="Calibri" w:cs="Calibri" w:eastAsia="Calibri" w:hAnsi="Calibri"/>
            <w:sz w:val="24"/>
            <w:szCs w:val="24"/>
          </w:rPr>
          <m:t xml:space="preserve">] *0,2</m:t>
        </m:r>
      </m:oMath>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6">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Indicador Nro 1</w:t>
      </w:r>
      <w:r w:rsidDel="00000000" w:rsidR="00000000" w:rsidRPr="00000000">
        <w:rPr>
          <w:rFonts w:ascii="Calibri" w:cs="Calibri" w:eastAsia="Calibri" w:hAnsi="Calibri"/>
          <w:sz w:val="24"/>
          <w:szCs w:val="24"/>
          <w:rtl w:val="0"/>
        </w:rPr>
        <w:t xml:space="preserve">: consiste en el monto exportado en dólares de las PAx tomando como referencia el dato más reciente de los últimos dos años. Es decir, se toman las exportaciones de PAx de 2022, pero en caso de que la empresa no registre exportaciones de esos productos en ese año, se toman los valores exportados de PAx de 2021.</w:t>
      </w:r>
    </w:p>
    <w:p w:rsidR="00000000" w:rsidDel="00000000" w:rsidP="00000000" w:rsidRDefault="00000000" w:rsidRPr="00000000" w14:paraId="00000038">
      <w:pPr>
        <w:spacing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3"/>
        <w:tblW w:w="9640.0" w:type="dxa"/>
        <w:jc w:val="left"/>
        <w:tblLayout w:type="fixed"/>
        <w:tblLook w:val="0400"/>
      </w:tblPr>
      <w:tblGrid>
        <w:gridCol w:w="7060"/>
        <w:gridCol w:w="2580"/>
        <w:tblGridChange w:id="0">
          <w:tblGrid>
            <w:gridCol w:w="7060"/>
            <w:gridCol w:w="2580"/>
          </w:tblGrid>
        </w:tblGridChange>
      </w:tblGrid>
      <w:tr>
        <w:trPr>
          <w:cantSplit w:val="0"/>
          <w:trHeight w:val="420" w:hRule="atLeast"/>
          <w:tblHeader w:val="0"/>
        </w:trPr>
        <w:tc>
          <w:tcPr>
            <w:gridSpan w:val="2"/>
            <w:tcBorders>
              <w:top w:color="ffffff" w:space="0" w:sz="12" w:val="single"/>
              <w:left w:color="ffffff" w:space="0" w:sz="12" w:val="single"/>
              <w:bottom w:color="ffffff" w:space="0" w:sz="12" w:val="single"/>
              <w:right w:color="ffffff" w:space="0" w:sz="12" w:val="single"/>
            </w:tcBorders>
            <w:shd w:fill="44546a" w:val="clear"/>
            <w:vAlign w:val="center"/>
          </w:tcPr>
          <w:p w:rsidR="00000000" w:rsidDel="00000000" w:rsidP="00000000" w:rsidRDefault="00000000" w:rsidRPr="00000000" w14:paraId="00000039">
            <w:pPr>
              <w:spacing w:line="240" w:lineRule="auto"/>
              <w:jc w:val="center"/>
              <w:rPr>
                <w:rFonts w:ascii="Calibri" w:cs="Calibri" w:eastAsia="Calibri" w:hAnsi="Calibri"/>
                <w:b w:val="1"/>
                <w:color w:val="ffffff"/>
                <w:sz w:val="28"/>
                <w:szCs w:val="28"/>
              </w:rPr>
            </w:pPr>
            <w:r w:rsidDel="00000000" w:rsidR="00000000" w:rsidRPr="00000000">
              <w:rPr>
                <w:rFonts w:ascii="Calibri" w:cs="Calibri" w:eastAsia="Calibri" w:hAnsi="Calibri"/>
                <w:b w:val="1"/>
                <w:color w:val="ffffff"/>
                <w:sz w:val="28"/>
                <w:szCs w:val="28"/>
                <w:rtl w:val="0"/>
              </w:rPr>
              <w:t xml:space="preserve">INDICADOR 1</w:t>
            </w:r>
          </w:p>
        </w:tc>
      </w:tr>
      <w:tr>
        <w:trPr>
          <w:cantSplit w:val="0"/>
          <w:trHeight w:val="1060" w:hRule="atLeast"/>
          <w:tblHeader w:val="0"/>
        </w:trPr>
        <w:tc>
          <w:tcPr>
            <w:tcBorders>
              <w:top w:color="000000" w:space="0" w:sz="0" w:val="nil"/>
              <w:left w:color="ffffff" w:space="0" w:sz="12" w:val="single"/>
              <w:bottom w:color="ffffff" w:space="0" w:sz="12" w:val="single"/>
              <w:right w:color="ffffff" w:space="0" w:sz="12" w:val="single"/>
            </w:tcBorders>
            <w:shd w:fill="808080" w:val="clear"/>
            <w:vAlign w:val="center"/>
          </w:tcPr>
          <w:p w:rsidR="00000000" w:rsidDel="00000000" w:rsidP="00000000" w:rsidRDefault="00000000" w:rsidRPr="00000000" w14:paraId="0000003B">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Rango de la variable:</w:t>
              <w:br w:type="textWrapping"/>
              <w:t xml:space="preserve">Monto exportado en dólares del último año disponible (2022 ó 2021) de las PAx</w:t>
            </w:r>
          </w:p>
        </w:tc>
        <w:tc>
          <w:tcPr>
            <w:tcBorders>
              <w:top w:color="000000" w:space="0" w:sz="0" w:val="nil"/>
              <w:left w:color="000000" w:space="0" w:sz="0" w:val="nil"/>
              <w:bottom w:color="ffffff" w:space="0" w:sz="12" w:val="single"/>
              <w:right w:color="ffffff" w:space="0" w:sz="12" w:val="single"/>
            </w:tcBorders>
            <w:shd w:fill="808080" w:val="clear"/>
            <w:vAlign w:val="center"/>
          </w:tcPr>
          <w:p w:rsidR="00000000" w:rsidDel="00000000" w:rsidP="00000000" w:rsidRDefault="00000000" w:rsidRPr="00000000" w14:paraId="0000003C">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Puntaje</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3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0 - USD 4.000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3E">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3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4.000 - USD 7.400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0">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7.400 - USD 15.000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2">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15.000 - USD 25.000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4">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25.000 - USD 47.000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6">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47.000 - USD 84.000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8">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USD 84.000 - USD 388.000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A">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4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Más de USD 388.000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4C">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w:t>
            </w:r>
          </w:p>
        </w:tc>
      </w:tr>
    </w:tbl>
    <w:p w:rsidR="00000000" w:rsidDel="00000000" w:rsidP="00000000" w:rsidRDefault="00000000" w:rsidRPr="00000000" w14:paraId="0000004D">
      <w:pPr>
        <w:spacing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E">
      <w:pPr>
        <w:spacing w:line="240"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Indicador Nro 2</w:t>
      </w:r>
      <w:r w:rsidDel="00000000" w:rsidR="00000000" w:rsidRPr="00000000">
        <w:rPr>
          <w:rFonts w:ascii="Calibri" w:cs="Calibri" w:eastAsia="Calibri" w:hAnsi="Calibri"/>
          <w:sz w:val="24"/>
          <w:szCs w:val="24"/>
          <w:rtl w:val="0"/>
        </w:rPr>
        <w:t xml:space="preserve">: es la participación de las PAx de media y alta tecnología sobre el total exportado de las PAx por parte de la empresa. Para determinar si las PAx son de media y alta tecnología se utilizó la clasificación establecida por Lall en su artículo “The Technological Structure and Performance of Developing Country Manufactured Exports 1985-1988”</w:t>
      </w:r>
      <w:r w:rsidDel="00000000" w:rsidR="00000000" w:rsidRPr="00000000">
        <w:rPr>
          <w:rFonts w:ascii="Calibri" w:cs="Calibri" w:eastAsia="Calibri" w:hAnsi="Calibri"/>
          <w:sz w:val="24"/>
          <w:szCs w:val="24"/>
          <w:vertAlign w:val="superscript"/>
        </w:rPr>
        <w:footnoteReference w:customMarkFollows="0" w:id="0"/>
      </w:r>
      <w:r w:rsidDel="00000000" w:rsidR="00000000" w:rsidRPr="00000000">
        <w:rPr>
          <w:rFonts w:ascii="Calibri" w:cs="Calibri" w:eastAsia="Calibri" w:hAnsi="Calibri"/>
          <w:sz w:val="24"/>
          <w:szCs w:val="24"/>
          <w:rtl w:val="0"/>
        </w:rPr>
        <w:t xml:space="preserve"> y que es utilizada internacionalmente por organismos como Naciones Unidas. Se puede encontrar la correspondencia entre productos y la clasificación de Lall (2000) publicada por este organismo: </w:t>
      </w:r>
      <w:hyperlink r:id="rId7">
        <w:r w:rsidDel="00000000" w:rsidR="00000000" w:rsidRPr="00000000">
          <w:rPr>
            <w:rFonts w:ascii="Calibri" w:cs="Calibri" w:eastAsia="Calibri" w:hAnsi="Calibri"/>
            <w:color w:val="0563c1"/>
            <w:sz w:val="24"/>
            <w:szCs w:val="24"/>
            <w:u w:val="single"/>
            <w:rtl w:val="0"/>
          </w:rPr>
          <w:t xml:space="preserve">https://unctadstat.unctad.org/en/Classifications/DimSitcRev3Products_Ldc_Hierarchy.pdf</w:t>
        </w:r>
      </w:hyperlink>
      <w:r w:rsidDel="00000000" w:rsidR="00000000" w:rsidRPr="00000000">
        <w:rPr>
          <w:rFonts w:ascii="Calibri" w:cs="Calibri" w:eastAsia="Calibri" w:hAnsi="Calibri"/>
          <w:sz w:val="24"/>
          <w:szCs w:val="24"/>
          <w:rtl w:val="0"/>
        </w:rPr>
        <w:t xml:space="preserve">. Para poder implementar esta clasificación se llevó a cabo un proceso de armonización entre la clasificación de productos de Naciones Unidas (“SITC” revisión 3) y la clasificación de productos HS2017.  </w:t>
      </w:r>
    </w:p>
    <w:p w:rsidR="00000000" w:rsidDel="00000000" w:rsidP="00000000" w:rsidRDefault="00000000" w:rsidRPr="00000000" w14:paraId="0000004F">
      <w:pPr>
        <w:spacing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4"/>
        <w:tblW w:w="9640.0" w:type="dxa"/>
        <w:jc w:val="left"/>
        <w:tblLayout w:type="fixed"/>
        <w:tblLook w:val="0400"/>
      </w:tblPr>
      <w:tblGrid>
        <w:gridCol w:w="7060"/>
        <w:gridCol w:w="2580"/>
        <w:tblGridChange w:id="0">
          <w:tblGrid>
            <w:gridCol w:w="7060"/>
            <w:gridCol w:w="2580"/>
          </w:tblGrid>
        </w:tblGridChange>
      </w:tblGrid>
      <w:tr>
        <w:trPr>
          <w:cantSplit w:val="0"/>
          <w:trHeight w:val="420" w:hRule="atLeast"/>
          <w:tblHeader w:val="0"/>
        </w:trPr>
        <w:tc>
          <w:tcPr>
            <w:gridSpan w:val="2"/>
            <w:tcBorders>
              <w:top w:color="ffffff" w:space="0" w:sz="12" w:val="single"/>
              <w:left w:color="ffffff" w:space="0" w:sz="12" w:val="single"/>
              <w:bottom w:color="ffffff" w:space="0" w:sz="12" w:val="single"/>
              <w:right w:color="ffffff" w:space="0" w:sz="12" w:val="single"/>
            </w:tcBorders>
            <w:shd w:fill="44546a" w:val="clear"/>
            <w:vAlign w:val="center"/>
          </w:tcPr>
          <w:p w:rsidR="00000000" w:rsidDel="00000000" w:rsidP="00000000" w:rsidRDefault="00000000" w:rsidRPr="00000000" w14:paraId="00000050">
            <w:pPr>
              <w:spacing w:line="240" w:lineRule="auto"/>
              <w:jc w:val="center"/>
              <w:rPr>
                <w:rFonts w:ascii="Calibri" w:cs="Calibri" w:eastAsia="Calibri" w:hAnsi="Calibri"/>
                <w:b w:val="1"/>
                <w:color w:val="ffffff"/>
                <w:sz w:val="28"/>
                <w:szCs w:val="28"/>
              </w:rPr>
            </w:pPr>
            <w:r w:rsidDel="00000000" w:rsidR="00000000" w:rsidRPr="00000000">
              <w:rPr>
                <w:rFonts w:ascii="Calibri" w:cs="Calibri" w:eastAsia="Calibri" w:hAnsi="Calibri"/>
                <w:b w:val="1"/>
                <w:color w:val="ffffff"/>
                <w:sz w:val="28"/>
                <w:szCs w:val="28"/>
                <w:rtl w:val="0"/>
              </w:rPr>
              <w:t xml:space="preserve">INDICADOR 2 </w:t>
            </w:r>
          </w:p>
        </w:tc>
      </w:tr>
      <w:tr>
        <w:trPr>
          <w:cantSplit w:val="0"/>
          <w:trHeight w:val="1400" w:hRule="atLeast"/>
          <w:tblHeader w:val="0"/>
        </w:trPr>
        <w:tc>
          <w:tcPr>
            <w:tcBorders>
              <w:top w:color="000000" w:space="0" w:sz="0" w:val="nil"/>
              <w:left w:color="ffffff" w:space="0" w:sz="12" w:val="single"/>
              <w:bottom w:color="ffffff" w:space="0" w:sz="12" w:val="single"/>
              <w:right w:color="ffffff" w:space="0" w:sz="12" w:val="single"/>
            </w:tcBorders>
            <w:shd w:fill="808080" w:val="clear"/>
            <w:vAlign w:val="center"/>
          </w:tcPr>
          <w:p w:rsidR="00000000" w:rsidDel="00000000" w:rsidP="00000000" w:rsidRDefault="00000000" w:rsidRPr="00000000" w14:paraId="00000052">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Rango de la variable:</w:t>
              <w:br w:type="textWrapping"/>
              <w:t xml:space="preserve">Participación  de las exportaciones de las PAx de media y alta tecnología sobre el total exportado de las PAx</w:t>
            </w:r>
          </w:p>
        </w:tc>
        <w:tc>
          <w:tcPr>
            <w:tcBorders>
              <w:top w:color="000000" w:space="0" w:sz="0" w:val="nil"/>
              <w:left w:color="000000" w:space="0" w:sz="0" w:val="nil"/>
              <w:bottom w:color="ffffff" w:space="0" w:sz="12" w:val="single"/>
              <w:right w:color="ffffff" w:space="0" w:sz="12" w:val="single"/>
            </w:tcBorders>
            <w:shd w:fill="808080" w:val="clear"/>
            <w:vAlign w:val="center"/>
          </w:tcPr>
          <w:p w:rsidR="00000000" w:rsidDel="00000000" w:rsidP="00000000" w:rsidRDefault="00000000" w:rsidRPr="00000000" w14:paraId="00000053">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Puntaje</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Menos de 1%</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5">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- 10%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7">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- 40%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9">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40% - 70%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B">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70% - 90%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D">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5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 - 99%</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5F">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6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99% -100%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61">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w:t>
            </w:r>
          </w:p>
        </w:tc>
      </w:tr>
    </w:tbl>
    <w:p w:rsidR="00000000" w:rsidDel="00000000" w:rsidP="00000000" w:rsidRDefault="00000000" w:rsidRPr="00000000" w14:paraId="00000062">
      <w:pPr>
        <w:spacing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3">
      <w:pPr>
        <w:tabs>
          <w:tab w:val="left" w:leader="none" w:pos="2114"/>
        </w:tabs>
        <w:spacing w:line="240"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Indicador Nro 3</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se define como la participación de las exportaciones de las PAx sobre el total exportado por la empresa para ese año. </w:t>
      </w:r>
    </w:p>
    <w:p w:rsidR="00000000" w:rsidDel="00000000" w:rsidP="00000000" w:rsidRDefault="00000000" w:rsidRPr="00000000" w14:paraId="00000064">
      <w:pPr>
        <w:tabs>
          <w:tab w:val="left" w:leader="none" w:pos="2114"/>
        </w:tabs>
        <w:spacing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5"/>
        <w:tblW w:w="9640.0" w:type="dxa"/>
        <w:jc w:val="left"/>
        <w:tblLayout w:type="fixed"/>
        <w:tblLook w:val="0400"/>
      </w:tblPr>
      <w:tblGrid>
        <w:gridCol w:w="7060"/>
        <w:gridCol w:w="2580"/>
        <w:tblGridChange w:id="0">
          <w:tblGrid>
            <w:gridCol w:w="7060"/>
            <w:gridCol w:w="2580"/>
          </w:tblGrid>
        </w:tblGridChange>
      </w:tblGrid>
      <w:tr>
        <w:trPr>
          <w:cantSplit w:val="0"/>
          <w:trHeight w:val="460" w:hRule="atLeast"/>
          <w:tblHeader w:val="0"/>
        </w:trPr>
        <w:tc>
          <w:tcPr>
            <w:gridSpan w:val="2"/>
            <w:tcBorders>
              <w:top w:color="ffffff" w:space="0" w:sz="12" w:val="single"/>
              <w:left w:color="ffffff" w:space="0" w:sz="12" w:val="single"/>
              <w:bottom w:color="ffffff" w:space="0" w:sz="12" w:val="single"/>
              <w:right w:color="ffffff" w:space="0" w:sz="12" w:val="single"/>
            </w:tcBorders>
            <w:shd w:fill="44546a" w:val="clear"/>
            <w:vAlign w:val="center"/>
          </w:tcPr>
          <w:p w:rsidR="00000000" w:rsidDel="00000000" w:rsidP="00000000" w:rsidRDefault="00000000" w:rsidRPr="00000000" w14:paraId="00000065">
            <w:pPr>
              <w:spacing w:line="240" w:lineRule="auto"/>
              <w:jc w:val="center"/>
              <w:rPr>
                <w:rFonts w:ascii="Calibri" w:cs="Calibri" w:eastAsia="Calibri" w:hAnsi="Calibri"/>
                <w:b w:val="1"/>
                <w:color w:val="ffffff"/>
                <w:sz w:val="28"/>
                <w:szCs w:val="28"/>
              </w:rPr>
            </w:pPr>
            <w:r w:rsidDel="00000000" w:rsidR="00000000" w:rsidRPr="00000000">
              <w:rPr>
                <w:rFonts w:ascii="Calibri" w:cs="Calibri" w:eastAsia="Calibri" w:hAnsi="Calibri"/>
                <w:b w:val="1"/>
                <w:color w:val="ffffff"/>
                <w:sz w:val="28"/>
                <w:szCs w:val="28"/>
                <w:rtl w:val="0"/>
              </w:rPr>
              <w:t xml:space="preserve">INDICADOR 3 </w:t>
            </w:r>
          </w:p>
        </w:tc>
      </w:tr>
      <w:tr>
        <w:trPr>
          <w:cantSplit w:val="0"/>
          <w:trHeight w:val="1060" w:hRule="atLeast"/>
          <w:tblHeader w:val="0"/>
        </w:trPr>
        <w:tc>
          <w:tcPr>
            <w:tcBorders>
              <w:top w:color="000000" w:space="0" w:sz="0" w:val="nil"/>
              <w:left w:color="ffffff" w:space="0" w:sz="12" w:val="single"/>
              <w:bottom w:color="ffffff" w:space="0" w:sz="12" w:val="single"/>
              <w:right w:color="ffffff" w:space="0" w:sz="12" w:val="single"/>
            </w:tcBorders>
            <w:shd w:fill="808080" w:val="clear"/>
            <w:vAlign w:val="center"/>
          </w:tcPr>
          <w:p w:rsidR="00000000" w:rsidDel="00000000" w:rsidP="00000000" w:rsidRDefault="00000000" w:rsidRPr="00000000" w14:paraId="00000067">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Rango de la variable: </w:t>
              <w:br w:type="textWrapping"/>
              <w:t xml:space="preserve">Participación de las exportaciones de las PAx sobre el total exportado por la empresa</w:t>
            </w:r>
          </w:p>
        </w:tc>
        <w:tc>
          <w:tcPr>
            <w:tcBorders>
              <w:top w:color="000000" w:space="0" w:sz="0" w:val="nil"/>
              <w:left w:color="000000" w:space="0" w:sz="0" w:val="nil"/>
              <w:bottom w:color="ffffff" w:space="0" w:sz="12" w:val="single"/>
              <w:right w:color="ffffff" w:space="0" w:sz="12" w:val="single"/>
            </w:tcBorders>
            <w:shd w:fill="808080" w:val="clear"/>
            <w:vAlign w:val="center"/>
          </w:tcPr>
          <w:p w:rsidR="00000000" w:rsidDel="00000000" w:rsidP="00000000" w:rsidRDefault="00000000" w:rsidRPr="00000000" w14:paraId="00000068">
            <w:pPr>
              <w:spacing w:line="240" w:lineRule="auto"/>
              <w:jc w:val="center"/>
              <w:rPr>
                <w:rFonts w:ascii="Calibri" w:cs="Calibri" w:eastAsia="Calibri" w:hAnsi="Calibri"/>
                <w:b w:val="1"/>
                <w:color w:val="ffffff"/>
                <w:sz w:val="24"/>
                <w:szCs w:val="24"/>
              </w:rPr>
            </w:pPr>
            <w:r w:rsidDel="00000000" w:rsidR="00000000" w:rsidRPr="00000000">
              <w:rPr>
                <w:rFonts w:ascii="Calibri" w:cs="Calibri" w:eastAsia="Calibri" w:hAnsi="Calibri"/>
                <w:b w:val="1"/>
                <w:color w:val="ffffff"/>
                <w:sz w:val="24"/>
                <w:szCs w:val="24"/>
                <w:rtl w:val="0"/>
              </w:rPr>
              <w:t xml:space="preserve">Puntaje</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6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0- 1%</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6A">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6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- 10%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6C">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6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- 20%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6E">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6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- 30%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0">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30%- 40%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2">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40% - 50%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4">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50% - 60%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6">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60%-70%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8">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70% - 80%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A">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w:t>
            </w:r>
          </w:p>
        </w:tc>
      </w:tr>
      <w:tr>
        <w:trPr>
          <w:cantSplit w:val="0"/>
          <w:trHeight w:val="540" w:hRule="atLeast"/>
          <w:tblHeader w:val="0"/>
        </w:trPr>
        <w:tc>
          <w:tcPr>
            <w:tcBorders>
              <w:top w:color="000000" w:space="0" w:sz="0" w:val="nil"/>
              <w:left w:color="ffffff" w:space="0" w:sz="12" w:val="single"/>
              <w:bottom w:color="ffffff" w:space="0" w:sz="12" w:val="single"/>
              <w:right w:color="ffffff" w:space="0" w:sz="12" w:val="single"/>
            </w:tcBorders>
            <w:shd w:fill="d9d9d9" w:val="clear"/>
            <w:vAlign w:val="center"/>
          </w:tcPr>
          <w:p w:rsidR="00000000" w:rsidDel="00000000" w:rsidP="00000000" w:rsidRDefault="00000000" w:rsidRPr="00000000" w14:paraId="0000007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80% - 100%</w:t>
            </w:r>
          </w:p>
        </w:tc>
        <w:tc>
          <w:tcPr>
            <w:tcBorders>
              <w:top w:color="000000" w:space="0" w:sz="0" w:val="nil"/>
              <w:left w:color="000000" w:space="0" w:sz="0" w:val="nil"/>
              <w:bottom w:color="ffffff" w:space="0" w:sz="12" w:val="single"/>
              <w:right w:color="ffffff" w:space="0" w:sz="12" w:val="single"/>
            </w:tcBorders>
            <w:shd w:fill="f2f2f2" w:val="clear"/>
            <w:vAlign w:val="center"/>
          </w:tcPr>
          <w:p w:rsidR="00000000" w:rsidDel="00000000" w:rsidP="00000000" w:rsidRDefault="00000000" w:rsidRPr="00000000" w14:paraId="0000007C">
            <w:pPr>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w:t>
            </w:r>
          </w:p>
        </w:tc>
      </w:tr>
    </w:tbl>
    <w:p w:rsidR="00000000" w:rsidDel="00000000" w:rsidP="00000000" w:rsidRDefault="00000000" w:rsidRPr="00000000" w14:paraId="0000007D">
      <w:pPr>
        <w:tabs>
          <w:tab w:val="left" w:leader="none" w:pos="2114"/>
        </w:tabs>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sectPr>
      <w:pgSz w:h="16820" w:w="11900" w:orient="portrait"/>
      <w:pgMar w:bottom="2205.9994506835938" w:top="1649.200439453125" w:left="1702.0799255371094" w:right="1037.199707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Encode San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F">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Lall, S. (2000). </w:t>
      </w:r>
      <w:r w:rsidDel="00000000" w:rsidR="00000000" w:rsidRPr="00000000">
        <w:rPr>
          <w:rFonts w:ascii="Times New Roman" w:cs="Times New Roman" w:eastAsia="Times New Roman" w:hAnsi="Times New Roman"/>
          <w:i w:val="1"/>
          <w:sz w:val="20"/>
          <w:szCs w:val="20"/>
          <w:rtl w:val="0"/>
        </w:rPr>
        <w:t xml:space="preserve">“The Technological Structure and Performance of Developing Country Manufactured Exports1985-1988”</w:t>
      </w:r>
      <w:r w:rsidDel="00000000" w:rsidR="00000000" w:rsidRPr="00000000">
        <w:rPr>
          <w:rFonts w:ascii="Times New Roman" w:cs="Times New Roman" w:eastAsia="Times New Roman" w:hAnsi="Times New Roman"/>
          <w:sz w:val="20"/>
          <w:szCs w:val="20"/>
          <w:rtl w:val="0"/>
        </w:rPr>
        <w:t xml:space="preserve">. QEH Working Paper Series-WEHWPS44, June 2000.</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unctadstat.unctad.org/en/Classifications/DimSitcRev3Products_Ldc_Hierarchy.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