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H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DECLARACIÓN JURADA AMBIENTAL Y SOCIAL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PROCER -PROGRAMA DE COMPETITIVIDAD DE ECONOMÍAS REGIONALES-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CENTROS UNIVERSITARIOS PYME - CUP 2022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BID N° 3174/OC-AR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60"/>
        </w:tabs>
        <w:spacing w:after="240" w:line="36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El que suscribe ______ en carácter de </w:t>
      </w:r>
      <w:r w:rsidDel="00000000" w:rsidR="00000000" w:rsidRPr="00000000">
        <w:rPr>
          <w:rtl w:val="0"/>
        </w:rPr>
        <w:t xml:space="preserve">representante legal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de la Entidad Beneficiaria ________ manifiesta con carácter de declaración jurada lo siguiente: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60"/>
        </w:tabs>
        <w:spacing w:after="240" w:line="360" w:lineRule="auto"/>
        <w:ind w:left="72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La Entidad Beneficiaria asume el compromiso de cumplir la normativa ambiental vigente a nivel nacional, provincial y municipal.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60"/>
        </w:tabs>
        <w:spacing w:after="240" w:line="360" w:lineRule="auto"/>
        <w:ind w:left="720" w:hanging="360"/>
        <w:jc w:val="both"/>
        <w:rPr>
          <w:rFonts w:ascii="Calibri" w:cs="Calibri" w:eastAsia="Calibri" w:hAnsi="Calibri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La Entidad Beneficiaria asume el compromiso de cumplir la normativa vigente en materia de seguridad e higiene laboral.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60"/>
        </w:tabs>
        <w:spacing w:after="240" w:line="360" w:lineRule="auto"/>
        <w:ind w:left="72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La Entidad Beneficiaria se encuentra localizada en una zona considerada apta para la actividad que realiza/realizará, de acuerdo a la normativa local sobre zonificación y usos del suelo.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60"/>
        </w:tabs>
        <w:spacing w:after="240" w:line="360" w:lineRule="auto"/>
        <w:ind w:left="72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La Entidad Beneficiaria posee las licencias, certificados o permisos ambientales para la actividad que realiza/realizará, conforme lo establecido por la normativa ambiental local.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60"/>
        </w:tabs>
        <w:spacing w:after="240" w:line="360" w:lineRule="auto"/>
        <w:ind w:left="72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La Entidad Beneficiaria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conoce y acepta la normativa relacionada con la GESTIÓN AMBIENTAL Y SOCIAL, conforme surge de la Cláusula 3.04 del Contrato de Préstamo N O 3174/ OC-AR y su 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eglamento </w:t>
      </w: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perativo, la implementación del Sistema de Gestión Ambiental y Social (SGAS) y las demás condiciones de ejecución y monitoreo establecidas en el Informe de Gestión Ambiental y Social (IGAS) de acuerdo con el Reglamento Operativo del Programa de Competitividad de Economías Regionales vigente.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60"/>
        </w:tabs>
        <w:spacing w:after="240" w:line="360" w:lineRule="auto"/>
        <w:ind w:left="72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La Entidad Beneficiara conoce y acepta el listado de exclusión ambiental adjunto a la presente declaración jurada y garantiza que el proyecto no se encuentra alcanzado por ninguna de dichas exclusiones.</w:t>
      </w:r>
    </w:p>
    <w:p w:rsidR="00000000" w:rsidDel="00000000" w:rsidP="00000000" w:rsidRDefault="00000000" w:rsidRPr="00000000" w14:paraId="0000000E">
      <w:pPr>
        <w:ind w:left="2267.71653543307" w:firstLine="0"/>
        <w:jc w:val="center"/>
        <w:rPr/>
      </w:pPr>
      <w:r w:rsidDel="00000000" w:rsidR="00000000" w:rsidRPr="00000000">
        <w:rPr>
          <w:rtl w:val="0"/>
        </w:rPr>
        <w:t xml:space="preserve">_______________________</w:t>
      </w:r>
    </w:p>
    <w:p w:rsidR="00000000" w:rsidDel="00000000" w:rsidP="00000000" w:rsidRDefault="00000000" w:rsidRPr="00000000" w14:paraId="0000000F">
      <w:pPr>
        <w:ind w:left="2267.71653543307" w:firstLine="0"/>
        <w:jc w:val="center"/>
        <w:rPr/>
      </w:pPr>
      <w:r w:rsidDel="00000000" w:rsidR="00000000" w:rsidRPr="00000000">
        <w:rPr>
          <w:rtl w:val="0"/>
        </w:rPr>
        <w:t xml:space="preserve">Aclaración</w:t>
      </w:r>
    </w:p>
    <w:p w:rsidR="00000000" w:rsidDel="00000000" w:rsidP="00000000" w:rsidRDefault="00000000" w:rsidRPr="00000000" w14:paraId="00000010">
      <w:pPr>
        <w:ind w:left="2267.71653543307" w:firstLine="0"/>
        <w:jc w:val="center"/>
        <w:rPr/>
      </w:pPr>
      <w:r w:rsidDel="00000000" w:rsidR="00000000" w:rsidRPr="00000000">
        <w:rPr>
          <w:rtl w:val="0"/>
        </w:rPr>
        <w:t xml:space="preserve">Cargo </w:t>
      </w:r>
    </w:p>
    <w:p w:rsidR="00000000" w:rsidDel="00000000" w:rsidP="00000000" w:rsidRDefault="00000000" w:rsidRPr="00000000" w14:paraId="00000011">
      <w:pPr>
        <w:ind w:left="2267.71653543307" w:firstLine="0"/>
        <w:jc w:val="center"/>
        <w:rPr/>
      </w:pPr>
      <w:r w:rsidDel="00000000" w:rsidR="00000000" w:rsidRPr="00000000">
        <w:rPr>
          <w:rtl w:val="0"/>
        </w:rPr>
        <w:t xml:space="preserve">(representante legal o apoderado)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66" w:line="309" w:lineRule="auto"/>
        <w:ind w:left="235" w:right="1294" w:firstLine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LISTADO DE EXCLUSIÓN AMBIENTAL </w:t>
      </w:r>
    </w:p>
    <w:p w:rsidR="00000000" w:rsidDel="00000000" w:rsidP="00000000" w:rsidRDefault="00000000" w:rsidRPr="00000000" w14:paraId="00000015">
      <w:pPr>
        <w:spacing w:before="66" w:line="309" w:lineRule="auto"/>
        <w:ind w:left="235" w:right="0" w:firstLine="0"/>
        <w:rPr/>
      </w:pPr>
      <w:r w:rsidDel="00000000" w:rsidR="00000000" w:rsidRPr="00000000">
        <w:rPr>
          <w:rtl w:val="0"/>
        </w:rPr>
        <w:t xml:space="preserve">No se otorgará financiamiento para proyectos involucrados en la producción, comercio o uso de los productos, sustancias o actividades enunciados en la siguiente lista: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107" w:line="295" w:lineRule="auto"/>
        <w:ind w:left="940" w:right="0" w:hanging="705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que sean ilegales conforme a las leyes o reglamentos del país receptor, o conforme a convenciones y tratados internacionales ratificados por este.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119" w:line="240" w:lineRule="auto"/>
        <w:ind w:left="939" w:right="0" w:hanging="705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Armas y municiones.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173" w:line="240" w:lineRule="auto"/>
        <w:ind w:left="939" w:right="0" w:hanging="705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Tabaco (1).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0" w:line="240" w:lineRule="auto"/>
        <w:ind w:left="93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0" w:line="240" w:lineRule="auto"/>
        <w:ind w:left="939" w:right="0" w:hanging="705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Juegos de azar, casinos y empresas equivalentes (1).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173" w:line="295" w:lineRule="auto"/>
        <w:ind w:left="940" w:right="0" w:hanging="705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Animales y plantas silvestres o productos derivados de ellos reglamentados conforme a la Convención sobre el Comercio Internacional de Especies Amenazadas de Fauna y Flora Silvestres (CITES) (2).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119" w:line="240" w:lineRule="auto"/>
        <w:ind w:left="939" w:right="0" w:hanging="705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Materiales radioactivos (3).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173" w:line="240" w:lineRule="auto"/>
        <w:ind w:left="939" w:right="0" w:hanging="705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Fibras de amianto no aglutinado (4).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0" w:line="295" w:lineRule="auto"/>
        <w:ind w:left="9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0" w:line="295" w:lineRule="auto"/>
        <w:ind w:left="940" w:right="0" w:hanging="705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Proyectos u operaciones forestales que no sean congruentes con la Política de medioambiente y observancia de salvaguardias del BID (documento GN-2208-20).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9"/>
          <w:tab w:val="left" w:pos="940"/>
        </w:tabs>
        <w:spacing w:after="0" w:before="120" w:line="240" w:lineRule="auto"/>
        <w:ind w:left="939" w:right="0" w:hanging="705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Compuestos debifenilopoliclorado.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40"/>
          <w:tab w:val="left" w:pos="941"/>
        </w:tabs>
        <w:spacing w:after="0" w:before="173" w:line="240" w:lineRule="auto"/>
        <w:ind w:left="940" w:right="0" w:hanging="706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Productos farmacéuticos sujetos a eliminación gradual o prohibición internacional (5).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40"/>
          <w:tab w:val="left" w:pos="941"/>
        </w:tabs>
        <w:spacing w:after="0" w:before="173" w:line="240" w:lineRule="auto"/>
        <w:ind w:left="940" w:right="0" w:hanging="706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Pesticidas y herbicidas sujetos a eliminación gradual o prohibición internacional (6).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40"/>
          <w:tab w:val="left" w:pos="941"/>
        </w:tabs>
        <w:spacing w:after="0" w:before="0" w:line="240" w:lineRule="auto"/>
        <w:ind w:left="940" w:right="0" w:hanging="706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Sustancias que agotan la capa de ozono sujetas a eliminación gradual internacional (7).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40"/>
          <w:tab w:val="left" w:pos="941"/>
        </w:tabs>
        <w:spacing w:after="0" w:before="173" w:line="240" w:lineRule="auto"/>
        <w:ind w:left="940" w:right="0" w:hanging="706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Pesca en el entorno marítimo con redes de arrastre superiores a 2,5 km de longitud.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85"/>
          <w:tab w:val="left" w:pos="986"/>
        </w:tabs>
        <w:spacing w:after="0" w:before="173" w:line="240" w:lineRule="auto"/>
        <w:ind w:left="985" w:right="0" w:hanging="75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Movimientos transfronterizos de desechos y productos de desecho (8).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40"/>
          <w:tab w:val="left" w:pos="941"/>
        </w:tabs>
        <w:spacing w:after="0" w:before="173" w:line="240" w:lineRule="auto"/>
        <w:ind w:left="940" w:right="0" w:hanging="706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Contaminantes Orgánicos Persistentes (9).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40"/>
          <w:tab w:val="left" w:pos="941"/>
        </w:tabs>
        <w:spacing w:after="0" w:before="173" w:line="240" w:lineRule="auto"/>
        <w:ind w:left="940" w:right="0" w:hanging="706"/>
        <w:jc w:val="left"/>
        <w:rPr/>
      </w:pPr>
      <w:r w:rsidDel="00000000" w:rsidR="00000000" w:rsidRPr="00000000">
        <w:rPr>
          <w:rtl w:val="0"/>
        </w:rPr>
        <w:t xml:space="preserve">Incumplimiento de los principios fundamentales de los trabajadores y de los derechos en el trabajo (10).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40"/>
          <w:tab w:val="left" w:pos="941"/>
        </w:tabs>
        <w:spacing w:after="0" w:before="173" w:line="240" w:lineRule="auto"/>
        <w:ind w:left="94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60" w:line="278.00000000000006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No se aplica a los potenciales beneficiarios que no estén sustancialmente involucrados en estas actividades. “No sustancialmente involucrados” significa que la actividad en cuestión es </w:t>
      </w:r>
      <w:r w:rsidDel="00000000" w:rsidR="00000000" w:rsidRPr="00000000">
        <w:rPr>
          <w:sz w:val="16"/>
          <w:szCs w:val="16"/>
          <w:rtl w:val="0"/>
        </w:rPr>
        <w:t xml:space="preserve">secundaria a las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operaciones principales del potencial beneficiario.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35" w:line="240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Véase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563c1"/>
            <w:sz w:val="16"/>
            <w:szCs w:val="16"/>
            <w:u w:val="single"/>
            <w:shd w:fill="auto" w:val="clear"/>
            <w:vertAlign w:val="baseline"/>
            <w:rtl w:val="0"/>
          </w:rPr>
          <w:t xml:space="preserve">http://www.cites.o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6"/>
          <w:szCs w:val="16"/>
          <w:u w:val="single"/>
          <w:shd w:fill="auto" w:val="clear"/>
          <w:vertAlign w:val="baseline"/>
          <w:rtl w:val="0"/>
        </w:rPr>
        <w:t xml:space="preserve">rg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55" w:line="278.00000000000006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No se aplica a la compra de equipo médico, equipos de control de calidad (medición) ni otros equipos en los que pueda demostrarse que la fuente radiactiva es insignificante y/o se encuentra debidamente revestida.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21" w:line="295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No se aplica a la compra y uso de fibrocemento de amianto aglutinado en el cual el contenido de amianto sea menor al 20%.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04" w:line="285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Productos farmacéuticos sujetos a eliminación gradual o prohibición en Naciones Unidas, Banned Products: Consolidated List of Products Whose Consumption and/or Sale Have Been Banned, Withdrawn, Severely Restricted or not Approved by Governments.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16" w:line="278.00000000000006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Pesticidas y herbicidas sujetos a eliminación gradual o prohibición incluidos en los Convenios de Rotterdam (http://www.pic.int)ydeEstocolmo(http://www.pops.int).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16" w:line="278.00000000000006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Las sustancias que agotan la capa de ozono son compuestos químicos que reaccionan con el ozono estratosférico y lo agotan, lo que da como resultado los ampliamente difundidos “agujeros de ozono”. El Protocolo de Montreal enumera dichas sustancias y sus fechas previstas de reducción y eliminación gradual. Los compuestos químicos reglamentados por el referido protocolo incluyen los aerosoles, refrigerantes, agentes sopladores para espumas, solventes y agentes extintores de fuego </w:t>
      </w: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16"/>
            <w:szCs w:val="16"/>
            <w:u w:val="none"/>
            <w:shd w:fill="auto" w:val="clear"/>
            <w:vertAlign w:val="baseline"/>
            <w:rtl w:val="0"/>
          </w:rPr>
          <w:t xml:space="preserve">http://ozone.unep.org/Publications/6ii_publications%20handbooks.shtml.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16" w:line="278.00000000000006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Definidos por el Convenio de Basilea </w:t>
      </w:r>
      <w:hyperlink r:id="rId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16"/>
            <w:szCs w:val="16"/>
            <w:u w:val="none"/>
            <w:shd w:fill="auto" w:val="clear"/>
            <w:vertAlign w:val="baseline"/>
            <w:rtl w:val="0"/>
          </w:rPr>
          <w:t xml:space="preserve">http://www.basel.int,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excepto desechos no peligrosos destinados a reciclaje.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16" w:line="278.00000000000006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(Definidos por el Convenio Internacional sobre reducción y eliminación de contaminantes orgánicos persistentes que actualmente incluye los pesticidas aldrina, clordano, dieldrina, endrina, heptacloro, mirexy toxafeno, así como los clorobencenosquímicos de uso indus</w:t>
      </w:r>
      <w:hyperlink r:id="rId1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16"/>
            <w:szCs w:val="16"/>
            <w:u w:val="none"/>
            <w:shd w:fill="auto" w:val="clear"/>
            <w:vertAlign w:val="baseline"/>
            <w:rtl w:val="0"/>
          </w:rPr>
          <w:t xml:space="preserve">trialhttp://chm.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pops.int/).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5"/>
        </w:tabs>
        <w:spacing w:after="0" w:before="116" w:line="278.00000000000006" w:lineRule="auto"/>
        <w:ind w:left="59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los Principios y Derechos Fundamentales en el Trabajo significan: i) la libertad de asociación y la libertad sindical y el reconocimiento efectivo del derecho de negociación colectiva; ii) la prohibición de todas las formas de trabajo forzoso u obligatorio; iii) la prohibición del trabajo infantil, incluida, sin que suponga limitación, la prohibición de que personas menores de 18 años trabajen en condiciones peligrosas (incluidas las actividades de construcción), realicen trabajos nocturnos y sean declaradas aptas para trabajar en base a un examen médico; y iv) la eliminación de la discriminación en materia de empleo y ocupación, en la cual la discriminación se define como cualquier diferencia, exclusión o preferencia basada en motivos de raza, color, sexo, religión, opinión política u origen nacional o social. Organización Internacional del Trabajo, </w:t>
      </w:r>
      <w:hyperlink r:id="rId1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16"/>
            <w:szCs w:val="16"/>
            <w:u w:val="none"/>
            <w:shd w:fill="auto" w:val="clear"/>
            <w:vertAlign w:val="baseline"/>
            <w:rtl w:val="0"/>
          </w:rPr>
          <w:t xml:space="preserve">http://www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.ilo.org)</w:t>
      </w:r>
    </w:p>
    <w:sectPr>
      <w:headerReference r:id="rId12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cs="Noto Sans" w:eastAsia="Noto Sans" w:hAnsi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cs="Noto Sans" w:eastAsia="Noto Sans" w:hAnsi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cs="Noto Sans" w:eastAsia="Noto Sans" w:hAnsi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cs="Noto Sans" w:eastAsia="Noto Sans" w:hAnsi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cs="Noto Sans" w:eastAsia="Noto Sans" w:hAnsi="Noto Sans"/>
      </w:rPr>
    </w:lvl>
  </w:abstractNum>
  <w:abstractNum w:abstractNumId="2">
    <w:lvl w:ilvl="0">
      <w:start w:val="1"/>
      <w:numFmt w:val="decimal"/>
      <w:lvlText w:val="(%1)"/>
      <w:lvlJc w:val="left"/>
      <w:pPr>
        <w:ind w:left="595" w:hanging="360"/>
      </w:pPr>
      <w:rPr>
        <w:rFonts w:ascii="Calibri" w:cs="Calibri" w:eastAsia="Calibri" w:hAnsi="Calibri"/>
        <w:sz w:val="18"/>
        <w:szCs w:val="18"/>
      </w:rPr>
    </w:lvl>
    <w:lvl w:ilvl="1">
      <w:start w:val="0"/>
      <w:numFmt w:val="bullet"/>
      <w:lvlText w:val="•"/>
      <w:lvlJc w:val="left"/>
      <w:pPr>
        <w:ind w:left="1551" w:hanging="360"/>
      </w:pPr>
      <w:rPr/>
    </w:lvl>
    <w:lvl w:ilvl="2">
      <w:start w:val="0"/>
      <w:numFmt w:val="bullet"/>
      <w:lvlText w:val="•"/>
      <w:lvlJc w:val="left"/>
      <w:pPr>
        <w:ind w:left="2502" w:hanging="360"/>
      </w:pPr>
      <w:rPr/>
    </w:lvl>
    <w:lvl w:ilvl="3">
      <w:start w:val="0"/>
      <w:numFmt w:val="bullet"/>
      <w:lvlText w:val="•"/>
      <w:lvlJc w:val="left"/>
      <w:pPr>
        <w:ind w:left="3453" w:hanging="360"/>
      </w:pPr>
      <w:rPr/>
    </w:lvl>
    <w:lvl w:ilvl="4">
      <w:start w:val="0"/>
      <w:numFmt w:val="bullet"/>
      <w:lvlText w:val="•"/>
      <w:lvlJc w:val="left"/>
      <w:pPr>
        <w:ind w:left="4404" w:hanging="360"/>
      </w:pPr>
      <w:rPr/>
    </w:lvl>
    <w:lvl w:ilvl="5">
      <w:start w:val="0"/>
      <w:numFmt w:val="bullet"/>
      <w:lvlText w:val="•"/>
      <w:lvlJc w:val="left"/>
      <w:pPr>
        <w:ind w:left="5355" w:hanging="360"/>
      </w:pPr>
      <w:rPr/>
    </w:lvl>
    <w:lvl w:ilvl="6">
      <w:start w:val="0"/>
      <w:numFmt w:val="bullet"/>
      <w:lvlText w:val="•"/>
      <w:lvlJc w:val="left"/>
      <w:pPr>
        <w:ind w:left="6306" w:hanging="360"/>
      </w:pPr>
      <w:rPr/>
    </w:lvl>
    <w:lvl w:ilvl="7">
      <w:start w:val="0"/>
      <w:numFmt w:val="bullet"/>
      <w:lvlText w:val="•"/>
      <w:lvlJc w:val="left"/>
      <w:pPr>
        <w:ind w:left="7257" w:hanging="360"/>
      </w:pPr>
      <w:rPr/>
    </w:lvl>
    <w:lvl w:ilvl="8">
      <w:start w:val="0"/>
      <w:numFmt w:val="bullet"/>
      <w:lvlText w:val="•"/>
      <w:lvlJc w:val="left"/>
      <w:pPr>
        <w:ind w:left="8208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940" w:hanging="705"/>
      </w:pPr>
      <w:rPr>
        <w:rFonts w:ascii="Calibri" w:cs="Calibri" w:eastAsia="Calibri" w:hAnsi="Calibri"/>
        <w:sz w:val="19"/>
        <w:szCs w:val="19"/>
      </w:rPr>
    </w:lvl>
    <w:lvl w:ilvl="1">
      <w:start w:val="0"/>
      <w:numFmt w:val="bullet"/>
      <w:lvlText w:val="•"/>
      <w:lvlJc w:val="left"/>
      <w:pPr>
        <w:ind w:left="1857" w:hanging="705"/>
      </w:pPr>
      <w:rPr/>
    </w:lvl>
    <w:lvl w:ilvl="2">
      <w:start w:val="0"/>
      <w:numFmt w:val="bullet"/>
      <w:lvlText w:val="•"/>
      <w:lvlJc w:val="left"/>
      <w:pPr>
        <w:ind w:left="2774" w:hanging="705"/>
      </w:pPr>
      <w:rPr/>
    </w:lvl>
    <w:lvl w:ilvl="3">
      <w:start w:val="0"/>
      <w:numFmt w:val="bullet"/>
      <w:lvlText w:val="•"/>
      <w:lvlJc w:val="left"/>
      <w:pPr>
        <w:ind w:left="3691" w:hanging="705"/>
      </w:pPr>
      <w:rPr/>
    </w:lvl>
    <w:lvl w:ilvl="4">
      <w:start w:val="0"/>
      <w:numFmt w:val="bullet"/>
      <w:lvlText w:val="•"/>
      <w:lvlJc w:val="left"/>
      <w:pPr>
        <w:ind w:left="4608" w:hanging="705"/>
      </w:pPr>
      <w:rPr/>
    </w:lvl>
    <w:lvl w:ilvl="5">
      <w:start w:val="0"/>
      <w:numFmt w:val="bullet"/>
      <w:lvlText w:val="•"/>
      <w:lvlJc w:val="left"/>
      <w:pPr>
        <w:ind w:left="5525" w:hanging="705"/>
      </w:pPr>
      <w:rPr/>
    </w:lvl>
    <w:lvl w:ilvl="6">
      <w:start w:val="0"/>
      <w:numFmt w:val="bullet"/>
      <w:lvlText w:val="•"/>
      <w:lvlJc w:val="left"/>
      <w:pPr>
        <w:ind w:left="6442" w:hanging="705"/>
      </w:pPr>
      <w:rPr/>
    </w:lvl>
    <w:lvl w:ilvl="7">
      <w:start w:val="0"/>
      <w:numFmt w:val="bullet"/>
      <w:lvlText w:val="•"/>
      <w:lvlJc w:val="left"/>
      <w:pPr>
        <w:ind w:left="7359" w:hanging="705"/>
      </w:pPr>
      <w:rPr/>
    </w:lvl>
    <w:lvl w:ilvl="8">
      <w:start w:val="0"/>
      <w:numFmt w:val="bullet"/>
      <w:lvlText w:val="•"/>
      <w:lvlJc w:val="left"/>
      <w:pPr>
        <w:ind w:left="8276" w:hanging="705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Default" w:customStyle="1">
    <w:name w:val="Default"/>
    <w:rsid w:val="00612E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 w:eastAsiaTheme="minorEastAsia"/>
      <w:color w:val="000000"/>
      <w:sz w:val="24"/>
      <w:szCs w:val="24"/>
      <w:lang w:val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PrrafodelistaCar" w:customStyle="1">
    <w:name w:val="Párrafo de lista Car"/>
    <w:basedOn w:val="Fuentedeprrafopredeter"/>
    <w:link w:val="Prrafodelista"/>
    <w:uiPriority w:val="34"/>
    <w:qFormat w:val="1"/>
    <w:rsid w:val="00D64669"/>
    <w:rPr>
      <w:lang w:eastAsia="es-AR"/>
    </w:rPr>
  </w:style>
  <w:style w:type="paragraph" w:styleId="Prrafodelista">
    <w:name w:val="List Paragraph"/>
    <w:basedOn w:val="Normal"/>
    <w:link w:val="PrrafodelistaCar"/>
    <w:uiPriority w:val="34"/>
    <w:qFormat w:val="1"/>
    <w:rsid w:val="00D64669"/>
    <w:pPr>
      <w:suppressAutoHyphens w:val="1"/>
      <w:ind w:left="720"/>
      <w:contextualSpacing w:val="1"/>
    </w:pPr>
    <w:rPr>
      <w:lang w:eastAsia="es-AR"/>
    </w:rPr>
  </w:style>
  <w:style w:type="paragraph" w:styleId="Textoindependiente">
    <w:name w:val="Body Text"/>
    <w:basedOn w:val="Normal"/>
    <w:link w:val="TextoindependienteCar"/>
    <w:uiPriority w:val="1"/>
    <w:qFormat w:val="1"/>
    <w:rsid w:val="00D64669"/>
    <w:pPr>
      <w:suppressAutoHyphens w:val="1"/>
      <w:spacing w:after="140" w:line="276" w:lineRule="auto"/>
    </w:pPr>
    <w:rPr>
      <w:rFonts w:asciiTheme="minorHAnsi" w:eastAsiaTheme="minorHAnsi" w:hAnsiTheme="minorHAnsi"/>
      <w:lang w:eastAsia="es-AR" w:val="es-AR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D64669"/>
    <w:rPr>
      <w:rFonts w:asciiTheme="minorHAnsi" w:eastAsiaTheme="minorHAnsi" w:hAnsiTheme="minorHAnsi"/>
      <w:lang w:eastAsia="es-AR" w:val="es-AR"/>
    </w:rPr>
  </w:style>
  <w:style w:type="paragraph" w:styleId="Piedepgina">
    <w:name w:val="footer"/>
    <w:basedOn w:val="Normal"/>
    <w:link w:val="PiedepginaCar"/>
    <w:uiPriority w:val="99"/>
    <w:rsid w:val="00D64669"/>
    <w:pPr>
      <w:suppressAutoHyphens w:val="1"/>
    </w:pPr>
    <w:rPr>
      <w:rFonts w:asciiTheme="minorHAnsi" w:eastAsiaTheme="minorHAnsi" w:hAnsiTheme="minorHAnsi"/>
      <w:lang w:eastAsia="es-AR" w:val="es-AR"/>
    </w:rPr>
  </w:style>
  <w:style w:type="character" w:styleId="PiedepginaCar" w:customStyle="1">
    <w:name w:val="Pie de página Car"/>
    <w:basedOn w:val="Fuentedeprrafopredeter"/>
    <w:link w:val="Piedepgina"/>
    <w:uiPriority w:val="99"/>
    <w:rsid w:val="00D64669"/>
    <w:rPr>
      <w:rFonts w:asciiTheme="minorHAnsi" w:eastAsiaTheme="minorHAnsi" w:hAnsiTheme="minorHAnsi"/>
      <w:lang w:eastAsia="es-AR" w:val="es-AR"/>
    </w:rPr>
  </w:style>
  <w:style w:type="character" w:styleId="Hipervnculo">
    <w:name w:val="Hyperlink"/>
    <w:basedOn w:val="Fuentedeprrafopredeter"/>
    <w:uiPriority w:val="99"/>
    <w:unhideWhenUsed w:val="1"/>
    <w:rsid w:val="00D64669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 w:val="1"/>
    <w:rsid w:val="00D64669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64669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www" TargetMode="External"/><Relationship Id="rId10" Type="http://schemas.openxmlformats.org/officeDocument/2006/relationships/hyperlink" Target="http://chm.pops.int/" TargetMode="External"/><Relationship Id="rId12" Type="http://schemas.openxmlformats.org/officeDocument/2006/relationships/header" Target="header1.xml"/><Relationship Id="rId9" Type="http://schemas.openxmlformats.org/officeDocument/2006/relationships/hyperlink" Target="http://www.basel.int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cites.o" TargetMode="External"/><Relationship Id="rId8" Type="http://schemas.openxmlformats.org/officeDocument/2006/relationships/hyperlink" Target="http://ozone.unep.org/Publications/6ii_publications%20handbooks.s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-regular.ttf"/><Relationship Id="rId2" Type="http://schemas.openxmlformats.org/officeDocument/2006/relationships/font" Target="fonts/NotoSans-bold.ttf"/><Relationship Id="rId3" Type="http://schemas.openxmlformats.org/officeDocument/2006/relationships/font" Target="fonts/NotoSans-italic.ttf"/><Relationship Id="rId4" Type="http://schemas.openxmlformats.org/officeDocument/2006/relationships/font" Target="fonts/NotoSans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jzOUYl8NigqaAf1HS3+jQ5CQNQ==">AMUW2mXbtTq5CHt0NH65NJKH13B4+xTv+S85m+XNOR5ZvBKcVsVTzkhlCVoCmPRfkSGKXZe7F4tbucQeWwy3XGnlt+v9+NvItm1wjZQEQWlpWrNNcrILz2e1hxkW8GffrJOhiWkcddmG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2022-05-20T20:59:00Z</dcterms:created>
  <dc:creator>Federico</dc:creator>
</cp:coreProperties>
</file>