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H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AMBIENTAL Y SOCIAL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PROCER -PROGRAMA DE COMPETITIVIDAD DE ECONOMÍAS REGIONALES-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CENTROS UNIVERSITARIOS PYME - CUP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BID N° 3174/OC-AR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240"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que suscribe ______ en carácter de </w:t>
      </w:r>
      <w:r w:rsidDel="00000000" w:rsidR="00000000" w:rsidRPr="00000000">
        <w:rPr>
          <w:rtl w:val="0"/>
        </w:rPr>
        <w:t xml:space="preserve">representante legal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la Entidad Beneficiaria ________ manifiesta con carácter de declaración jurada lo siguiente: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24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Entidad Beneficiaria asume el compromiso de cumplir la normativa ambiental vigente a nivel nacional, provincial y municipal.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24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Entidad Beneficiaria asume el compromiso de cumplir la normativa vigente en materia de seguridad e higiene laboral.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24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Entidad Beneficiaria se encuentra localizada en una zona considerada apta para la actividad que realiza/realizará, de acuerdo a la normativa local sobre zonificación y usos del suelo.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24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Entidad Beneficiaria posee las licencias, certificados o permisos ambientales para la actividad que realiza/realizará, conforme lo establecido por la normativa ambiental local.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24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Entidad Beneficiaria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conoce y acepta la normativa relacionada con la GESTIÓN AMBIENTAL Y SOCIAL, conforme surge de la Cláusula 3.04 del Contrato de Préstamo N O 3174/ OC-AR y su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eglamento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perativo, la implementación del Sistema de Gestión Ambiental y Social (SGAS) y las demás condiciones de ejecución y monitoreo establecidas en el Informe de Gestión Ambiental y Social (IGAS) de acuerdo con el Reglamento Operativo del Programa de Competitividad de Economías Regionales vigente.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24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Entidad Beneficiara conoce y acepta el listado de exclusión ambiental adjunto a la presente declaración jurada y garantiza que el proyecto no se encuentra alcanzado por ninguna de dichas exclusiones.</w:t>
      </w:r>
    </w:p>
    <w:p w:rsidR="00000000" w:rsidDel="00000000" w:rsidP="00000000" w:rsidRDefault="00000000" w:rsidRPr="00000000" w14:paraId="0000000E">
      <w:pPr>
        <w:ind w:left="2267.71653543307" w:firstLine="0"/>
        <w:jc w:val="center"/>
        <w:rPr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0F">
      <w:pPr>
        <w:ind w:left="2267.71653543307" w:firstLine="0"/>
        <w:jc w:val="center"/>
        <w:rPr/>
      </w:pPr>
      <w:r w:rsidDel="00000000" w:rsidR="00000000" w:rsidRPr="00000000">
        <w:rPr>
          <w:rtl w:val="0"/>
        </w:rPr>
        <w:t xml:space="preserve">Aclaración</w:t>
      </w:r>
    </w:p>
    <w:p w:rsidR="00000000" w:rsidDel="00000000" w:rsidP="00000000" w:rsidRDefault="00000000" w:rsidRPr="00000000" w14:paraId="00000010">
      <w:pPr>
        <w:ind w:left="2267.71653543307" w:firstLine="0"/>
        <w:jc w:val="center"/>
        <w:rPr/>
      </w:pPr>
      <w:r w:rsidDel="00000000" w:rsidR="00000000" w:rsidRPr="00000000">
        <w:rPr>
          <w:rtl w:val="0"/>
        </w:rPr>
        <w:t xml:space="preserve">Cargo </w:t>
      </w:r>
    </w:p>
    <w:p w:rsidR="00000000" w:rsidDel="00000000" w:rsidP="00000000" w:rsidRDefault="00000000" w:rsidRPr="00000000" w14:paraId="00000011">
      <w:pPr>
        <w:ind w:left="2267.71653543307" w:firstLine="0"/>
        <w:jc w:val="center"/>
        <w:rPr/>
      </w:pPr>
      <w:r w:rsidDel="00000000" w:rsidR="00000000" w:rsidRPr="00000000">
        <w:rPr>
          <w:rtl w:val="0"/>
        </w:rPr>
        <w:t xml:space="preserve">(representante legal o apoderado)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66" w:line="309" w:lineRule="auto"/>
        <w:ind w:left="235" w:right="1294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LISTADO DE EXCLUSIÓN AMBIENTAL </w:t>
      </w:r>
    </w:p>
    <w:p w:rsidR="00000000" w:rsidDel="00000000" w:rsidP="00000000" w:rsidRDefault="00000000" w:rsidRPr="00000000" w14:paraId="00000015">
      <w:pPr>
        <w:spacing w:before="66" w:line="309" w:lineRule="auto"/>
        <w:ind w:left="235" w:right="0" w:firstLine="0"/>
        <w:rPr/>
      </w:pPr>
      <w:r w:rsidDel="00000000" w:rsidR="00000000" w:rsidRPr="00000000">
        <w:rPr>
          <w:rtl w:val="0"/>
        </w:rPr>
        <w:t xml:space="preserve">No se otorgará financiamiento para proyectos involucrados en la producción, comercio o uso de los productos, sustancias o actividades enunciados en la siguiente lista: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107" w:line="295" w:lineRule="auto"/>
        <w:ind w:left="940" w:right="0" w:hanging="70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sean ilegales conforme a las leyes o reglamentos del país receptor, o conforme a convenciones y tratados internacionales ratificados por 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119" w:line="240" w:lineRule="auto"/>
        <w:ind w:left="939" w:right="0" w:hanging="70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Armas y municiones.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173" w:line="240" w:lineRule="auto"/>
        <w:ind w:left="939" w:right="0" w:hanging="70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Tabaco 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0" w:line="240" w:lineRule="auto"/>
        <w:ind w:left="9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0" w:line="240" w:lineRule="auto"/>
        <w:ind w:left="939" w:right="0" w:hanging="70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Juegos de azar, casinos y empresas equivalentes 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173" w:line="295" w:lineRule="auto"/>
        <w:ind w:left="940" w:right="0" w:hanging="705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Animales y plantas silvestres o productos derivados de ellos reglamentados conforme a la Convención sobre el Comercio Internacional de Especies Amenazadas de Fauna y Flora Silvestres (CITES) (2).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119" w:line="240" w:lineRule="auto"/>
        <w:ind w:left="939" w:right="0" w:hanging="705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Materiales radioactivos (3).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173" w:line="240" w:lineRule="auto"/>
        <w:ind w:left="939" w:right="0" w:hanging="705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Fibras de amianto no aglutinado (4).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0" w:line="295" w:lineRule="auto"/>
        <w:ind w:left="9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0" w:line="295" w:lineRule="auto"/>
        <w:ind w:left="940" w:right="0" w:hanging="705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Proyectos u operaciones forestales que no sean congruentes con la Política de medioambiente y observancia de salvaguardias del BID (documento GN-2208-20).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0"/>
        </w:tabs>
        <w:spacing w:after="0" w:before="120" w:line="240" w:lineRule="auto"/>
        <w:ind w:left="939" w:right="0" w:hanging="705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Compuestos debifenilopoliclorado.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73" w:line="240" w:lineRule="auto"/>
        <w:ind w:left="940" w:right="0" w:hanging="70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Productos farmacéuticos sujetos a eliminación gradual o prohibición internacional (5).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73" w:line="240" w:lineRule="auto"/>
        <w:ind w:left="940" w:right="0" w:hanging="70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Pesticidas y herbicidas sujetos a eliminación gradual o prohibición internacional (6).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0" w:lineRule="auto"/>
        <w:ind w:left="940" w:right="0" w:hanging="70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Sustancias que agotan la capa de ozono sujetas a eliminación gradual internacional (7).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73" w:line="240" w:lineRule="auto"/>
        <w:ind w:left="940" w:right="0" w:hanging="70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Pesca en el entorno marítimo con redes de arrastre superiores a 2,5 km de longitud.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5"/>
          <w:tab w:val="left" w:pos="986"/>
        </w:tabs>
        <w:spacing w:after="0" w:before="173" w:line="240" w:lineRule="auto"/>
        <w:ind w:left="985" w:right="0" w:hanging="75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Movimientos transfronterizos de desechos y productos de desecho (8).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73" w:line="240" w:lineRule="auto"/>
        <w:ind w:left="940" w:right="0" w:hanging="70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Contaminantes Orgánicos Persistentes (9).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73" w:line="240" w:lineRule="auto"/>
        <w:ind w:left="940" w:right="0" w:hanging="706"/>
        <w:jc w:val="left"/>
        <w:rPr/>
      </w:pPr>
      <w:r w:rsidDel="00000000" w:rsidR="00000000" w:rsidRPr="00000000">
        <w:rPr>
          <w:rtl w:val="0"/>
        </w:rPr>
        <w:t xml:space="preserve">Incumplimiento de los principios fundamentales de los trabajadores y de los derechos en el trabajo (10).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73" w:line="240" w:lineRule="auto"/>
        <w:ind w:left="9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</w:tabs>
        <w:spacing w:after="0" w:before="160" w:line="278.00000000000006" w:lineRule="auto"/>
        <w:ind w:left="59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 se aplica a los potenciales beneficiarios que no estén sustancialmente involucrados en estas actividades. “No sustancialmente involucrados” significa que la actividad en cuestión es </w:t>
      </w:r>
      <w:r w:rsidDel="00000000" w:rsidR="00000000" w:rsidRPr="00000000">
        <w:rPr>
          <w:sz w:val="16"/>
          <w:szCs w:val="16"/>
          <w:rtl w:val="0"/>
        </w:rPr>
        <w:t xml:space="preserve">secundaria a las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operaciones principales del potencial beneficiario.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</w:tabs>
        <w:spacing w:after="0" w:before="135" w:line="240" w:lineRule="auto"/>
        <w:ind w:left="59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Véase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http://www.cites.o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</w:tabs>
        <w:spacing w:after="0" w:before="155" w:line="278.00000000000006" w:lineRule="auto"/>
        <w:ind w:left="59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 se aplica a la compra de equipo médico, equipos de control de calidad (medición) ni otros equipos en los que pueda demostrarse que la fuente radiactiva es insignificante y/o se encuentra debidamente revestida.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</w:tabs>
        <w:spacing w:after="0" w:before="121" w:line="295" w:lineRule="auto"/>
        <w:ind w:left="59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 se aplica a la compra y uso de fibrocemento de amianto aglutinado en el cual el contenido de amianto sea menor al 20%.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</w:tabs>
        <w:spacing w:after="0" w:before="104" w:line="285" w:lineRule="auto"/>
        <w:ind w:left="59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Productos farmacéuticos sujetos a eliminación gradual o prohibición en Naciones Unidas, Banned Products: Consolidated List of Products Whose Consumption and/or Sale Have Been Banned, Withdrawn, Severely Restricted or not Approved by Governments.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</w:tabs>
        <w:spacing w:after="0" w:before="116" w:line="278.00000000000006" w:lineRule="auto"/>
        <w:ind w:left="59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Pesticidas y herbicidas sujetos a eliminación gradual o prohibición incluidos en los Convenios de Rotterdam (http://www.pic.int)ydeEstocolmo(http://www.pops.int).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</w:tabs>
        <w:spacing w:after="0" w:before="116" w:line="278.00000000000006" w:lineRule="auto"/>
        <w:ind w:left="59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Las sustancias que agotan la capa de ozono son compuestos químicos que reaccionan con el ozono estratosférico y lo agotan, lo que da como resultado los ampliamente difundidos “agujeros de ozono”. El Protocolo de Montreal enumera dichas sustancias y sus fechas previstas de reducción y eliminación gradual. Los compuestos químicos reglamentados por el referido protocolo incluyen los aerosoles, refrigerantes, agentes sopladores para espumas, solventes y agentes extintores de fuego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http://ozone.unep.org/Publications/6ii_publications%20handbooks.shtml.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</w:tabs>
        <w:spacing w:after="0" w:before="116" w:line="278.00000000000006" w:lineRule="auto"/>
        <w:ind w:left="59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Definidos por el Convenio de Basilea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http://www.basel.int,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excepto desechos no peligrosos destinados a reciclaje.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</w:tabs>
        <w:spacing w:after="0" w:before="116" w:line="278.00000000000006" w:lineRule="auto"/>
        <w:ind w:left="59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(Definidos por el Convenio Internacional sobre reducción y eliminación de contaminantes orgánicos persistentes que actualmente incluye los pesticidas aldrina, clordano, dieldrina, endrina, heptacloro, mirexy toxafeno, así como los clorobencenosquímicos de uso indus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trialhttp://chm.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pops.int/).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</w:tabs>
        <w:spacing w:after="0" w:before="116" w:line="278.00000000000006" w:lineRule="auto"/>
        <w:ind w:left="59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los Principios y Derechos Fundamentales en el Trabajo significan: i) la libertad de asociación y la libertad sindical y el reconocimiento efectivo del derecho de negociación colectiva; ii) la prohibición de todas las formas de trabajo forzoso u obligatorio; iii) la prohibición del trabajo infantil, incluida, sin que suponga limitación, la prohibición de que personas menores de 18 años trabajen en condiciones peligrosas (incluidas las actividades de construcción), realicen trabajos nocturnos y sean declaradas aptas para trabajar en base a un examen médico; y iv) la eliminación de la discriminación en materia de empleo y ocupación, en la cual la discriminación se define como cualquier diferencia, exclusión o preferencia basada en motivos de raza, color, sexo, religión, opinión política u origen nacional o social. Organización Internacional del Trabajo,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http://www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.ilo.org)</w:t>
      </w:r>
    </w:p>
    <w:sectPr>
      <w:head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decimal"/>
      <w:lvlText w:val="(%1)"/>
      <w:lvlJc w:val="left"/>
      <w:pPr>
        <w:ind w:left="595" w:hanging="360"/>
      </w:pPr>
      <w:rPr>
        <w:rFonts w:ascii="Calibri" w:cs="Calibri" w:eastAsia="Calibri" w:hAnsi="Calibri"/>
        <w:sz w:val="18"/>
        <w:szCs w:val="18"/>
      </w:rPr>
    </w:lvl>
    <w:lvl w:ilvl="1">
      <w:start w:val="0"/>
      <w:numFmt w:val="bullet"/>
      <w:lvlText w:val="•"/>
      <w:lvlJc w:val="left"/>
      <w:pPr>
        <w:ind w:left="1551" w:hanging="360"/>
      </w:pPr>
      <w:rPr/>
    </w:lvl>
    <w:lvl w:ilvl="2">
      <w:start w:val="0"/>
      <w:numFmt w:val="bullet"/>
      <w:lvlText w:val="•"/>
      <w:lvlJc w:val="left"/>
      <w:pPr>
        <w:ind w:left="2502" w:hanging="360"/>
      </w:pPr>
      <w:rPr/>
    </w:lvl>
    <w:lvl w:ilvl="3">
      <w:start w:val="0"/>
      <w:numFmt w:val="bullet"/>
      <w:lvlText w:val="•"/>
      <w:lvlJc w:val="left"/>
      <w:pPr>
        <w:ind w:left="3453" w:hanging="360"/>
      </w:pPr>
      <w:rPr/>
    </w:lvl>
    <w:lvl w:ilvl="4">
      <w:start w:val="0"/>
      <w:numFmt w:val="bullet"/>
      <w:lvlText w:val="•"/>
      <w:lvlJc w:val="left"/>
      <w:pPr>
        <w:ind w:left="4404" w:hanging="360"/>
      </w:pPr>
      <w:rPr/>
    </w:lvl>
    <w:lvl w:ilvl="5">
      <w:start w:val="0"/>
      <w:numFmt w:val="bullet"/>
      <w:lvlText w:val="•"/>
      <w:lvlJc w:val="left"/>
      <w:pPr>
        <w:ind w:left="5355" w:hanging="360"/>
      </w:pPr>
      <w:rPr/>
    </w:lvl>
    <w:lvl w:ilvl="6">
      <w:start w:val="0"/>
      <w:numFmt w:val="bullet"/>
      <w:lvlText w:val="•"/>
      <w:lvlJc w:val="left"/>
      <w:pPr>
        <w:ind w:left="6306" w:hanging="360"/>
      </w:pPr>
      <w:rPr/>
    </w:lvl>
    <w:lvl w:ilvl="7">
      <w:start w:val="0"/>
      <w:numFmt w:val="bullet"/>
      <w:lvlText w:val="•"/>
      <w:lvlJc w:val="left"/>
      <w:pPr>
        <w:ind w:left="7257" w:hanging="360"/>
      </w:pPr>
      <w:rPr/>
    </w:lvl>
    <w:lvl w:ilvl="8">
      <w:start w:val="0"/>
      <w:numFmt w:val="bullet"/>
      <w:lvlText w:val="•"/>
      <w:lvlJc w:val="left"/>
      <w:pPr>
        <w:ind w:left="8208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40" w:hanging="705"/>
      </w:pPr>
      <w:rPr>
        <w:rFonts w:ascii="Calibri" w:cs="Calibri" w:eastAsia="Calibri" w:hAnsi="Calibri"/>
        <w:sz w:val="19"/>
        <w:szCs w:val="19"/>
      </w:rPr>
    </w:lvl>
    <w:lvl w:ilvl="1">
      <w:start w:val="0"/>
      <w:numFmt w:val="bullet"/>
      <w:lvlText w:val="•"/>
      <w:lvlJc w:val="left"/>
      <w:pPr>
        <w:ind w:left="1857" w:hanging="705"/>
      </w:pPr>
      <w:rPr/>
    </w:lvl>
    <w:lvl w:ilvl="2">
      <w:start w:val="0"/>
      <w:numFmt w:val="bullet"/>
      <w:lvlText w:val="•"/>
      <w:lvlJc w:val="left"/>
      <w:pPr>
        <w:ind w:left="2774" w:hanging="705"/>
      </w:pPr>
      <w:rPr/>
    </w:lvl>
    <w:lvl w:ilvl="3">
      <w:start w:val="0"/>
      <w:numFmt w:val="bullet"/>
      <w:lvlText w:val="•"/>
      <w:lvlJc w:val="left"/>
      <w:pPr>
        <w:ind w:left="3691" w:hanging="705"/>
      </w:pPr>
      <w:rPr/>
    </w:lvl>
    <w:lvl w:ilvl="4">
      <w:start w:val="0"/>
      <w:numFmt w:val="bullet"/>
      <w:lvlText w:val="•"/>
      <w:lvlJc w:val="left"/>
      <w:pPr>
        <w:ind w:left="4608" w:hanging="705"/>
      </w:pPr>
      <w:rPr/>
    </w:lvl>
    <w:lvl w:ilvl="5">
      <w:start w:val="0"/>
      <w:numFmt w:val="bullet"/>
      <w:lvlText w:val="•"/>
      <w:lvlJc w:val="left"/>
      <w:pPr>
        <w:ind w:left="5525" w:hanging="705"/>
      </w:pPr>
      <w:rPr/>
    </w:lvl>
    <w:lvl w:ilvl="6">
      <w:start w:val="0"/>
      <w:numFmt w:val="bullet"/>
      <w:lvlText w:val="•"/>
      <w:lvlJc w:val="left"/>
      <w:pPr>
        <w:ind w:left="6442" w:hanging="705"/>
      </w:pPr>
      <w:rPr/>
    </w:lvl>
    <w:lvl w:ilvl="7">
      <w:start w:val="0"/>
      <w:numFmt w:val="bullet"/>
      <w:lvlText w:val="•"/>
      <w:lvlJc w:val="left"/>
      <w:pPr>
        <w:ind w:left="7359" w:hanging="705"/>
      </w:pPr>
      <w:rPr/>
    </w:lvl>
    <w:lvl w:ilvl="8">
      <w:start w:val="0"/>
      <w:numFmt w:val="bullet"/>
      <w:lvlText w:val="•"/>
      <w:lvlJc w:val="left"/>
      <w:pPr>
        <w:ind w:left="8276" w:hanging="705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612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PrrafodelistaCar" w:customStyle="1">
    <w:name w:val="Párrafo de lista Car"/>
    <w:basedOn w:val="Fuentedeprrafopredeter"/>
    <w:link w:val="Prrafodelista"/>
    <w:uiPriority w:val="34"/>
    <w:qFormat w:val="1"/>
    <w:rsid w:val="00D64669"/>
    <w:rPr>
      <w:lang w:eastAsia="es-AR"/>
    </w:rPr>
  </w:style>
  <w:style w:type="paragraph" w:styleId="Prrafodelista">
    <w:name w:val="List Paragraph"/>
    <w:basedOn w:val="Normal"/>
    <w:link w:val="PrrafodelistaCar"/>
    <w:uiPriority w:val="34"/>
    <w:qFormat w:val="1"/>
    <w:rsid w:val="00D64669"/>
    <w:pPr>
      <w:suppressAutoHyphens w:val="1"/>
      <w:ind w:left="720"/>
      <w:contextualSpacing w:val="1"/>
    </w:pPr>
    <w:rPr>
      <w:lang w:eastAsia="es-AR"/>
    </w:rPr>
  </w:style>
  <w:style w:type="paragraph" w:styleId="Textoindependiente">
    <w:name w:val="Body Text"/>
    <w:basedOn w:val="Normal"/>
    <w:link w:val="TextoindependienteCar"/>
    <w:uiPriority w:val="1"/>
    <w:qFormat w:val="1"/>
    <w:rsid w:val="00D64669"/>
    <w:pPr>
      <w:suppressAutoHyphens w:val="1"/>
      <w:spacing w:after="140" w:line="276" w:lineRule="auto"/>
    </w:pPr>
    <w:rPr>
      <w:rFonts w:asciiTheme="minorHAnsi" w:eastAsiaTheme="minorHAnsi" w:hAnsiTheme="minorHAnsi"/>
      <w:lang w:eastAsia="es-AR" w:val="es-A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D64669"/>
    <w:rPr>
      <w:rFonts w:asciiTheme="minorHAnsi" w:eastAsiaTheme="minorHAnsi" w:hAnsiTheme="minorHAnsi"/>
      <w:lang w:eastAsia="es-AR" w:val="es-AR"/>
    </w:rPr>
  </w:style>
  <w:style w:type="paragraph" w:styleId="Piedepgina">
    <w:name w:val="footer"/>
    <w:basedOn w:val="Normal"/>
    <w:link w:val="PiedepginaCar"/>
    <w:uiPriority w:val="99"/>
    <w:rsid w:val="00D64669"/>
    <w:pPr>
      <w:suppressAutoHyphens w:val="1"/>
    </w:pPr>
    <w:rPr>
      <w:rFonts w:asciiTheme="minorHAnsi" w:eastAsiaTheme="minorHAnsi" w:hAnsiTheme="minorHAnsi"/>
      <w:lang w:eastAsia="es-AR" w:val="es-AR"/>
    </w:rPr>
  </w:style>
  <w:style w:type="character" w:styleId="PiedepginaCar" w:customStyle="1">
    <w:name w:val="Pie de página Car"/>
    <w:basedOn w:val="Fuentedeprrafopredeter"/>
    <w:link w:val="Piedepgina"/>
    <w:uiPriority w:val="99"/>
    <w:rsid w:val="00D64669"/>
    <w:rPr>
      <w:rFonts w:asciiTheme="minorHAnsi" w:eastAsiaTheme="minorHAnsi" w:hAnsiTheme="minorHAnsi"/>
      <w:lang w:eastAsia="es-AR" w:val="es-AR"/>
    </w:rPr>
  </w:style>
  <w:style w:type="character" w:styleId="Hipervnculo">
    <w:name w:val="Hyperlink"/>
    <w:basedOn w:val="Fuentedeprrafopredeter"/>
    <w:uiPriority w:val="99"/>
    <w:unhideWhenUsed w:val="1"/>
    <w:rsid w:val="00D6466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6466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6466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" TargetMode="External"/><Relationship Id="rId10" Type="http://schemas.openxmlformats.org/officeDocument/2006/relationships/hyperlink" Target="http://chm.pops.int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basel.in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ites.o" TargetMode="External"/><Relationship Id="rId8" Type="http://schemas.openxmlformats.org/officeDocument/2006/relationships/hyperlink" Target="http://ozone.unep.org/Publications/6ii_publications%20handbooks.s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zOUYl8NigqaAf1HS3+jQ5CQNQ==">AMUW2mXbtTq5CHt0NH65NJKH13B4+xTv+S85m+XNOR5ZvBKcVsVTzkhlCVoCmPRfkSGKXZe7F4tbucQeWwy3XGnlt+v9+NvItm1wjZQEQWlpWrNNcrILz2e1hxkW8GffrJOhiWkcddmG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2022-05-20T20:59:00Z</dcterms:created>
  <dc:creator>Federico</dc:creator>
</cp:coreProperties>
</file>