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200" w:before="1800" w:line="240" w:lineRule="auto"/>
        <w:ind w:right="19"/>
        <w:rPr>
          <w:rFonts w:ascii="Encode Sans" w:cs="Encode Sans" w:eastAsia="Encode Sans" w:hAnsi="Encode Sans"/>
        </w:rPr>
      </w:pPr>
      <w:bookmarkStart w:colFirst="0" w:colLast="0" w:name="_heading=h.nnmkoc4obmaq" w:id="0"/>
      <w:bookmarkEnd w:id="0"/>
      <w:r w:rsidDel="00000000" w:rsidR="00000000" w:rsidRPr="00000000">
        <w:rPr>
          <w:rFonts w:ascii="Encode Sans Condensed Thin" w:cs="Encode Sans Condensed Thin" w:eastAsia="Encode Sans Condensed Thin" w:hAnsi="Encode Sans Condensed Thin"/>
          <w:rtl w:val="0"/>
        </w:rPr>
        <w:t xml:space="preserve">Instructivo </w:t>
        <w:br w:type="textWrapping"/>
      </w:r>
      <w:r w:rsidDel="00000000" w:rsidR="00000000" w:rsidRPr="00000000">
        <w:rPr>
          <w:rFonts w:ascii="Encode Sans" w:cs="Encode Sans" w:eastAsia="Encode Sans" w:hAnsi="Encode Sans"/>
          <w:b w:val="1"/>
          <w:rtl w:val="0"/>
        </w:rPr>
        <w:t xml:space="preserve">Certificaciones</w:t>
        <w:br w:type="textWrapping"/>
        <w:t xml:space="preserve">Placas y Baldosas Cerámicas</w:t>
      </w:r>
      <w:r w:rsidDel="00000000" w:rsidR="00000000" w:rsidRPr="00000000">
        <w:rPr>
          <w:rtl w:val="0"/>
        </w:rPr>
      </w:r>
    </w:p>
    <w:p w:rsidR="00000000" w:rsidDel="00000000" w:rsidP="00000000" w:rsidRDefault="00000000" w:rsidRPr="00000000" w14:paraId="00000002">
      <w:pPr>
        <w:widowControl w:val="0"/>
        <w:spacing w:line="240" w:lineRule="auto"/>
        <w:ind w:right="19"/>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SCI 910/ 2021</w:t>
      </w:r>
    </w:p>
    <w:p w:rsidR="00000000" w:rsidDel="00000000" w:rsidP="00000000" w:rsidRDefault="00000000" w:rsidRPr="00000000" w14:paraId="00000003">
      <w:pPr>
        <w:widowControl w:val="0"/>
        <w:spacing w:line="240" w:lineRule="auto"/>
        <w:ind w:right="19"/>
        <w:rPr>
          <w:rFonts w:ascii="Encode Sans" w:cs="Encode Sans" w:eastAsia="Encode Sans" w:hAnsi="Encode Sans"/>
          <w:color w:val="37bbed"/>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rPr/>
      </w:pPr>
      <w:bookmarkStart w:colFirst="0" w:colLast="0" w:name="_heading=h.buq6c9ws2vlc" w:id="1"/>
      <w:bookmarkEnd w:id="1"/>
      <w:r w:rsidDel="00000000" w:rsidR="00000000" w:rsidRPr="00000000">
        <w:rPr>
          <w:rtl w:val="0"/>
        </w:rPr>
        <w:t xml:space="preserve">Introducción</w:t>
      </w:r>
    </w:p>
    <w:p w:rsidR="00000000" w:rsidDel="00000000" w:rsidP="00000000" w:rsidRDefault="00000000" w:rsidRPr="00000000" w14:paraId="00000005">
      <w:pPr>
        <w:spacing w:after="200" w:lineRule="auto"/>
        <w:rPr>
          <w:rFonts w:ascii="Arial" w:cs="Arial" w:eastAsia="Arial" w:hAnsi="Arial"/>
          <w:color w:val="222222"/>
          <w:highlight w:val="white"/>
        </w:rPr>
      </w:pPr>
      <w:r w:rsidDel="00000000" w:rsidR="00000000" w:rsidRPr="00000000">
        <w:rPr>
          <w:rFonts w:ascii="Arial" w:cs="Arial" w:eastAsia="Arial" w:hAnsi="Arial"/>
          <w:rtl w:val="0"/>
        </w:rPr>
        <w:t xml:space="preserve">Para comercializar en el país placas y baldosas cerámicas, </w:t>
      </w:r>
      <w:r w:rsidDel="00000000" w:rsidR="00000000" w:rsidRPr="00000000">
        <w:rPr>
          <w:rFonts w:ascii="Arial" w:cs="Arial" w:eastAsia="Arial" w:hAnsi="Arial"/>
          <w:color w:val="222222"/>
          <w:highlight w:val="white"/>
          <w:rtl w:val="0"/>
        </w:rPr>
        <w:t xml:space="preserve">debés garantizar su calidad y seguridad.</w:t>
      </w:r>
    </w:p>
    <w:p w:rsidR="00000000" w:rsidDel="00000000" w:rsidP="00000000" w:rsidRDefault="00000000" w:rsidRPr="00000000" w14:paraId="00000006">
      <w:pPr>
        <w:spacing w:after="20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Se entiende por comercialización a toda transferencia, de los productos alcanzados, realizada a título oneroso.</w:t>
      </w:r>
    </w:p>
    <w:p w:rsidR="00000000" w:rsidDel="00000000" w:rsidP="00000000" w:rsidRDefault="00000000" w:rsidRPr="00000000" w14:paraId="00000007">
      <w:pPr>
        <w:pStyle w:val="Heading1"/>
        <w:widowControl w:val="0"/>
        <w:spacing w:after="300" w:before="600" w:lineRule="auto"/>
        <w:ind w:right="5"/>
        <w:rPr/>
      </w:pPr>
      <w:bookmarkStart w:colFirst="0" w:colLast="0" w:name="_heading=h.qp7hut6lcw51" w:id="2"/>
      <w:bookmarkEnd w:id="2"/>
      <w:r w:rsidDel="00000000" w:rsidR="00000000" w:rsidRPr="00000000">
        <w:rPr>
          <w:rtl w:val="0"/>
        </w:rPr>
        <w:t xml:space="preserve">Normativa de referencia </w:t>
      </w:r>
    </w:p>
    <w:p w:rsidR="00000000" w:rsidDel="00000000" w:rsidP="00000000" w:rsidRDefault="00000000" w:rsidRPr="00000000" w14:paraId="00000008">
      <w:pPr>
        <w:numPr>
          <w:ilvl w:val="0"/>
          <w:numId w:val="6"/>
        </w:numPr>
        <w:ind w:left="720" w:hanging="360"/>
      </w:pPr>
      <w:r w:rsidDel="00000000" w:rsidR="00000000" w:rsidRPr="00000000">
        <w:rPr>
          <w:b w:val="1"/>
          <w:rtl w:val="0"/>
        </w:rPr>
        <w:t xml:space="preserve">Resolución 910/2021 de la Secretaría de Comercio Interior.</w:t>
      </w:r>
      <w:r w:rsidDel="00000000" w:rsidR="00000000" w:rsidRPr="00000000">
        <w:rPr>
          <w:rtl w:val="0"/>
        </w:rPr>
        <w:br w:type="textWrapping"/>
      </w:r>
      <w:hyperlink r:id="rId7">
        <w:r w:rsidDel="00000000" w:rsidR="00000000" w:rsidRPr="00000000">
          <w:rPr>
            <w:color w:val="37bbed"/>
            <w:u w:val="single"/>
            <w:rtl w:val="0"/>
          </w:rPr>
          <w:t xml:space="preserve">http://servicios.infoleg.gob.ar/infolegInternet/anexos/350000-354999/354020/norma.htm</w:t>
        </w:r>
      </w:hyperlink>
      <w:r w:rsidDel="00000000" w:rsidR="00000000" w:rsidRPr="00000000">
        <w:rPr>
          <w:rtl w:val="0"/>
        </w:rPr>
      </w:r>
    </w:p>
    <w:p w:rsidR="00000000" w:rsidDel="00000000" w:rsidP="00000000" w:rsidRDefault="00000000" w:rsidRPr="00000000" w14:paraId="00000009">
      <w:pPr>
        <w:pStyle w:val="Heading1"/>
        <w:widowControl w:val="0"/>
        <w:spacing w:after="300" w:before="600" w:lineRule="auto"/>
        <w:ind w:right="5"/>
        <w:rPr/>
      </w:pPr>
      <w:bookmarkStart w:colFirst="0" w:colLast="0" w:name="_heading=h.66dhkvea8pd5" w:id="3"/>
      <w:bookmarkEnd w:id="3"/>
      <w:r w:rsidDel="00000000" w:rsidR="00000000" w:rsidRPr="00000000">
        <w:rPr>
          <w:rtl w:val="0"/>
        </w:rPr>
        <w:t xml:space="preserve">Alcance</w:t>
      </w:r>
    </w:p>
    <w:p w:rsidR="00000000" w:rsidDel="00000000" w:rsidP="00000000" w:rsidRDefault="00000000" w:rsidRPr="00000000" w14:paraId="0000000A">
      <w:pPr>
        <w:spacing w:after="200" w:lineRule="auto"/>
        <w:rPr>
          <w:rFonts w:ascii="Arial" w:cs="Arial" w:eastAsia="Arial" w:hAnsi="Arial"/>
        </w:rPr>
      </w:pPr>
      <w:r w:rsidDel="00000000" w:rsidR="00000000" w:rsidRPr="00000000">
        <w:rPr>
          <w:rFonts w:ascii="Arial" w:cs="Arial" w:eastAsia="Arial" w:hAnsi="Arial"/>
          <w:rtl w:val="0"/>
        </w:rPr>
        <w:t xml:space="preserve">Están obligados a cumplir con los requisitos especificados todos los productos identificados como placas y baldosas cerámicas, tanto de fabricación local como importados, que se comercialicen en el país.</w:t>
      </w:r>
    </w:p>
    <w:p w:rsidR="00000000" w:rsidDel="00000000" w:rsidP="00000000" w:rsidRDefault="00000000" w:rsidRPr="00000000" w14:paraId="0000000B">
      <w:pPr>
        <w:spacing w:after="200" w:lineRule="auto"/>
        <w:rPr>
          <w:rFonts w:ascii="Arial" w:cs="Arial" w:eastAsia="Arial" w:hAnsi="Arial"/>
        </w:rPr>
      </w:pPr>
      <w:r w:rsidDel="00000000" w:rsidR="00000000" w:rsidRPr="00000000">
        <w:rPr>
          <w:rFonts w:ascii="Arial" w:cs="Arial" w:eastAsia="Arial" w:hAnsi="Arial"/>
          <w:rtl w:val="0"/>
        </w:rPr>
        <w:t xml:space="preserve">Se entiende por </w:t>
      </w:r>
      <w:r w:rsidDel="00000000" w:rsidR="00000000" w:rsidRPr="00000000">
        <w:rPr>
          <w:rFonts w:ascii="Arial" w:cs="Arial" w:eastAsia="Arial" w:hAnsi="Arial"/>
          <w:b w:val="1"/>
          <w:rtl w:val="0"/>
        </w:rPr>
        <w:t xml:space="preserve">placa o baldosa cerámica</w:t>
      </w:r>
      <w:r w:rsidDel="00000000" w:rsidR="00000000" w:rsidRPr="00000000">
        <w:rPr>
          <w:rFonts w:ascii="Arial" w:cs="Arial" w:eastAsia="Arial" w:hAnsi="Arial"/>
          <w:rtl w:val="0"/>
        </w:rPr>
        <w:t xml:space="preserve"> a aquella hecha de arcillas y/u otras materias primas inorgánicas, generalmente utilizadas como revestimiento para pisos y paredes, usualmente conformadas por extrusión o prensado a temperatura ambiente, pero pueden estar formadas por otros procesos, luego se seca y se quema a temperaturas suficientes para desarrollar las propiedades requeridas.</w:t>
      </w:r>
    </w:p>
    <w:p w:rsidR="00000000" w:rsidDel="00000000" w:rsidP="00000000" w:rsidRDefault="00000000" w:rsidRPr="00000000" w14:paraId="0000000C">
      <w:pPr>
        <w:spacing w:after="200" w:lineRule="auto"/>
        <w:rPr>
          <w:rFonts w:ascii="Arial" w:cs="Arial" w:eastAsia="Arial" w:hAnsi="Arial"/>
        </w:rPr>
      </w:pPr>
      <w:r w:rsidDel="00000000" w:rsidR="00000000" w:rsidRPr="00000000">
        <w:rPr>
          <w:rFonts w:ascii="Arial" w:cs="Arial" w:eastAsia="Arial" w:hAnsi="Arial"/>
          <w:rtl w:val="0"/>
        </w:rPr>
        <w:t xml:space="preserve">Se entiende por </w:t>
      </w:r>
      <w:r w:rsidDel="00000000" w:rsidR="00000000" w:rsidRPr="00000000">
        <w:rPr>
          <w:rFonts w:ascii="Arial" w:cs="Arial" w:eastAsia="Arial" w:hAnsi="Arial"/>
          <w:b w:val="1"/>
          <w:rtl w:val="0"/>
        </w:rPr>
        <w:t xml:space="preserve">placa o baldosa cerámica de primera calidad </w:t>
      </w:r>
      <w:r w:rsidDel="00000000" w:rsidR="00000000" w:rsidRPr="00000000">
        <w:rPr>
          <w:rFonts w:ascii="Arial" w:cs="Arial" w:eastAsia="Arial" w:hAnsi="Arial"/>
          <w:rtl w:val="0"/>
        </w:rPr>
        <w:t xml:space="preserve">a aquella que cumpla con los requisitos de los anexos A a M, según corresponda, de la Norma IRAM-ISO 13006:2021.</w:t>
      </w:r>
    </w:p>
    <w:p w:rsidR="00000000" w:rsidDel="00000000" w:rsidP="00000000" w:rsidRDefault="00000000" w:rsidRPr="00000000" w14:paraId="0000000D">
      <w:pPr>
        <w:spacing w:after="200" w:lineRule="auto"/>
        <w:rPr>
          <w:rFonts w:ascii="Arial" w:cs="Arial" w:eastAsia="Arial" w:hAnsi="Arial"/>
        </w:rPr>
      </w:pPr>
      <w:r w:rsidDel="00000000" w:rsidR="00000000" w:rsidRPr="00000000">
        <w:rPr>
          <w:rFonts w:ascii="Arial" w:cs="Arial" w:eastAsia="Arial" w:hAnsi="Arial"/>
          <w:rtl w:val="0"/>
        </w:rPr>
        <w:t xml:space="preserve">Se entiende por </w:t>
      </w:r>
      <w:r w:rsidDel="00000000" w:rsidR="00000000" w:rsidRPr="00000000">
        <w:rPr>
          <w:rFonts w:ascii="Arial" w:cs="Arial" w:eastAsia="Arial" w:hAnsi="Arial"/>
          <w:b w:val="1"/>
          <w:rtl w:val="0"/>
        </w:rPr>
        <w:t xml:space="preserve">placa o baldosa cerámica de segunda calidad</w:t>
      </w:r>
      <w:r w:rsidDel="00000000" w:rsidR="00000000" w:rsidRPr="00000000">
        <w:rPr>
          <w:rFonts w:ascii="Arial" w:cs="Arial" w:eastAsia="Arial" w:hAnsi="Arial"/>
          <w:rtl w:val="0"/>
        </w:rPr>
        <w:t xml:space="preserve"> a aquellas que no cumplan con los requisitos mencionados para las placas y baldosas cerámicas de primera calidad.</w:t>
      </w:r>
    </w:p>
    <w:p w:rsidR="00000000" w:rsidDel="00000000" w:rsidP="00000000" w:rsidRDefault="00000000" w:rsidRPr="00000000" w14:paraId="0000000E">
      <w:pPr>
        <w:spacing w:after="200" w:lineRule="auto"/>
        <w:rPr>
          <w:rFonts w:ascii="Arial" w:cs="Arial" w:eastAsia="Arial" w:hAnsi="Arial"/>
        </w:rPr>
      </w:pPr>
      <w:r w:rsidDel="00000000" w:rsidR="00000000" w:rsidRPr="00000000">
        <w:rPr>
          <w:rFonts w:ascii="Arial" w:cs="Arial" w:eastAsia="Arial" w:hAnsi="Arial"/>
          <w:rtl w:val="0"/>
        </w:rPr>
        <w:t xml:space="preserve">Quedan excluidos del cumplimiento del régimen los siguientes productos:</w:t>
      </w:r>
    </w:p>
    <w:p w:rsidR="00000000" w:rsidDel="00000000" w:rsidP="00000000" w:rsidRDefault="00000000" w:rsidRPr="00000000" w14:paraId="0000000F">
      <w:pPr>
        <w:numPr>
          <w:ilvl w:val="0"/>
          <w:numId w:val="2"/>
        </w:numPr>
        <w:spacing w:after="200" w:before="200" w:lineRule="auto"/>
        <w:ind w:left="720" w:hanging="360"/>
        <w:rPr>
          <w:rFonts w:ascii="Arial" w:cs="Arial" w:eastAsia="Arial" w:hAnsi="Arial"/>
        </w:rPr>
      </w:pPr>
      <w:r w:rsidDel="00000000" w:rsidR="00000000" w:rsidRPr="00000000">
        <w:rPr>
          <w:rFonts w:ascii="Arial" w:cs="Arial" w:eastAsia="Arial" w:hAnsi="Arial"/>
          <w:rtl w:val="0"/>
        </w:rPr>
        <w:t xml:space="preserve">Las placas y baldosas cerámicas fabricadas por procesos productivos distintos a los de extrusión o prensado en seco.</w:t>
      </w:r>
    </w:p>
    <w:p w:rsidR="00000000" w:rsidDel="00000000" w:rsidP="00000000" w:rsidRDefault="00000000" w:rsidRPr="00000000" w14:paraId="00000010">
      <w:pPr>
        <w:numPr>
          <w:ilvl w:val="0"/>
          <w:numId w:val="2"/>
        </w:numPr>
        <w:spacing w:after="200" w:before="200" w:lineRule="auto"/>
        <w:ind w:left="720" w:hanging="360"/>
        <w:rPr>
          <w:rFonts w:ascii="Arial" w:cs="Arial" w:eastAsia="Arial" w:hAnsi="Arial"/>
        </w:rPr>
      </w:pPr>
      <w:r w:rsidDel="00000000" w:rsidR="00000000" w:rsidRPr="00000000">
        <w:rPr>
          <w:rFonts w:ascii="Arial" w:cs="Arial" w:eastAsia="Arial" w:hAnsi="Arial"/>
          <w:rtl w:val="0"/>
        </w:rPr>
        <w:t xml:space="preserve">Los complementos decorativos u ornamentales como mosaicos, bordes, esquinas, rodapiés, molduras, ángulos, zócalos, guardas, venecitas, calas, cuentas, escalones, baldosas curvas y otras piezas accesorias.</w:t>
      </w:r>
      <w:r w:rsidDel="00000000" w:rsidR="00000000" w:rsidRPr="00000000">
        <w:rPr>
          <w:rtl w:val="0"/>
        </w:rPr>
      </w:r>
    </w:p>
    <w:p w:rsidR="00000000" w:rsidDel="00000000" w:rsidP="00000000" w:rsidRDefault="00000000" w:rsidRPr="00000000" w14:paraId="00000011">
      <w:pPr>
        <w:pStyle w:val="Heading1"/>
        <w:spacing w:after="300" w:lineRule="auto"/>
        <w:rPr>
          <w:b w:val="0"/>
        </w:rPr>
      </w:pPr>
      <w:bookmarkStart w:colFirst="0" w:colLast="0" w:name="_heading=h.61szz52gt5z" w:id="4"/>
      <w:bookmarkEnd w:id="4"/>
      <w:r w:rsidDel="00000000" w:rsidR="00000000" w:rsidRPr="00000000">
        <w:rPr>
          <w:rtl w:val="0"/>
        </w:rPr>
        <w:t xml:space="preserve">Etiquetado</w:t>
      </w:r>
      <w:r w:rsidDel="00000000" w:rsidR="00000000" w:rsidRPr="00000000">
        <w:rPr>
          <w:rtl w:val="0"/>
        </w:rPr>
      </w:r>
    </w:p>
    <w:p w:rsidR="00000000" w:rsidDel="00000000" w:rsidP="00000000" w:rsidRDefault="00000000" w:rsidRPr="00000000" w14:paraId="00000012">
      <w:pPr>
        <w:pStyle w:val="Heading2"/>
        <w:spacing w:after="200" w:before="200" w:line="240" w:lineRule="auto"/>
        <w:ind w:right="63"/>
        <w:jc w:val="left"/>
        <w:rPr/>
      </w:pPr>
      <w:bookmarkStart w:colFirst="0" w:colLast="0" w:name="_heading=h.h98h8zxw03ly" w:id="5"/>
      <w:bookmarkEnd w:id="5"/>
      <w:r w:rsidDel="00000000" w:rsidR="00000000" w:rsidRPr="00000000">
        <w:rPr>
          <w:rtl w:val="0"/>
        </w:rPr>
        <w:t xml:space="preserve">OBJETO</w:t>
      </w:r>
    </w:p>
    <w:p w:rsidR="00000000" w:rsidDel="00000000" w:rsidP="00000000" w:rsidRDefault="00000000" w:rsidRPr="00000000" w14:paraId="00000013">
      <w:pPr>
        <w:spacing w:after="0" w:lineRule="auto"/>
        <w:ind w:right="63"/>
        <w:rPr>
          <w:rFonts w:ascii="Arial" w:cs="Arial" w:eastAsia="Arial" w:hAnsi="Arial"/>
          <w:color w:val="222222"/>
          <w:highlight w:val="white"/>
        </w:rPr>
      </w:pPr>
      <w:r w:rsidDel="00000000" w:rsidR="00000000" w:rsidRPr="00000000">
        <w:rPr>
          <w:rFonts w:ascii="Arial" w:cs="Arial" w:eastAsia="Arial" w:hAnsi="Arial"/>
          <w:rtl w:val="0"/>
        </w:rPr>
        <w:t xml:space="preserve">Durante la primera etapa de implementación de este reglamento técnico, para poder comercializar placas y baldosas cerámicas, las mismas </w:t>
      </w:r>
      <w:r w:rsidDel="00000000" w:rsidR="00000000" w:rsidRPr="00000000">
        <w:rPr>
          <w:rFonts w:ascii="Arial" w:cs="Arial" w:eastAsia="Arial" w:hAnsi="Arial"/>
          <w:color w:val="222222"/>
          <w:highlight w:val="white"/>
          <w:rtl w:val="0"/>
        </w:rPr>
        <w:t xml:space="preserve">deben estar marcadas y rotuladas de acuerdo a lo establecido por la normativa, independientemente de su calidad.</w:t>
      </w:r>
    </w:p>
    <w:p w:rsidR="00000000" w:rsidDel="00000000" w:rsidP="00000000" w:rsidRDefault="00000000" w:rsidRPr="00000000" w14:paraId="00000014">
      <w:pPr>
        <w:spacing w:after="0" w:lineRule="auto"/>
        <w:ind w:right="63"/>
        <w:rPr/>
      </w:pPr>
      <w:r w:rsidDel="00000000" w:rsidR="00000000" w:rsidRPr="00000000">
        <w:rPr>
          <w:rtl w:val="0"/>
        </w:rPr>
      </w:r>
    </w:p>
    <w:p w:rsidR="00000000" w:rsidDel="00000000" w:rsidP="00000000" w:rsidRDefault="00000000" w:rsidRPr="00000000" w14:paraId="00000015">
      <w:pPr>
        <w:spacing w:after="0" w:lineRule="auto"/>
        <w:ind w:right="63"/>
        <w:rPr/>
      </w:pPr>
      <w:r w:rsidDel="00000000" w:rsidR="00000000" w:rsidRPr="00000000">
        <w:rPr>
          <w:rtl w:val="0"/>
        </w:rPr>
        <w:t xml:space="preserve">Si tu producto es importado, y no cumple con el marcado establecido por la normativa, debés solicitar una apertura AML para adaptarlo a las reglamentaciones vigentes. Aprobada la solicitud, los productos pueden ser retirados para realizar el etiquetado adecuado. Una vez etiquetados correctamente, y luego de dar aviso de ello a la autoridad de aplicación, los productos se encuentran en condiciones para ser comercializados dentro de la República Argentina.</w:t>
      </w:r>
    </w:p>
    <w:p w:rsidR="00000000" w:rsidDel="00000000" w:rsidP="00000000" w:rsidRDefault="00000000" w:rsidRPr="00000000" w14:paraId="00000016">
      <w:pPr>
        <w:pStyle w:val="Heading2"/>
        <w:keepNext w:val="1"/>
        <w:keepLines w:val="1"/>
        <w:widowControl w:val="0"/>
        <w:spacing w:after="300" w:before="600" w:lineRule="auto"/>
        <w:ind w:right="489"/>
        <w:rPr/>
      </w:pPr>
      <w:bookmarkStart w:colFirst="0" w:colLast="0" w:name="_heading=h.43n90uat7rv7" w:id="6"/>
      <w:bookmarkEnd w:id="6"/>
      <w:r w:rsidDel="00000000" w:rsidR="00000000" w:rsidRPr="00000000">
        <w:rPr>
          <w:rtl w:val="0"/>
        </w:rPr>
        <w:t xml:space="preserve">PROCEDIMIENTO</w:t>
      </w:r>
    </w:p>
    <w:p w:rsidR="00000000" w:rsidDel="00000000" w:rsidP="00000000" w:rsidRDefault="00000000" w:rsidRPr="00000000" w14:paraId="00000017">
      <w:pPr>
        <w:pStyle w:val="Heading3"/>
        <w:numPr>
          <w:ilvl w:val="0"/>
          <w:numId w:val="7"/>
        </w:numPr>
        <w:spacing w:after="0" w:afterAutospacing="0"/>
        <w:ind w:left="720" w:hanging="360"/>
        <w:rPr>
          <w:u w:val="none"/>
        </w:rPr>
      </w:pPr>
      <w:bookmarkStart w:colFirst="0" w:colLast="0" w:name="_heading=h.st5fxsupwbm3" w:id="7"/>
      <w:bookmarkEnd w:id="7"/>
      <w:r w:rsidDel="00000000" w:rsidR="00000000" w:rsidRPr="00000000">
        <w:rPr>
          <w:rtl w:val="0"/>
        </w:rPr>
        <w:t xml:space="preserve">Para realizar la Apertura del trámite de AML y poder liberar tus productos de la Aduana:</w:t>
      </w:r>
    </w:p>
    <w:p w:rsidR="00000000" w:rsidDel="00000000" w:rsidP="00000000" w:rsidRDefault="00000000" w:rsidRPr="00000000" w14:paraId="00000018">
      <w:pPr>
        <w:numPr>
          <w:ilvl w:val="0"/>
          <w:numId w:val="3"/>
        </w:numPr>
        <w:spacing w:after="200" w:before="80" w:line="276" w:lineRule="auto"/>
        <w:ind w:left="720" w:right="-40.8661417322827" w:hanging="360"/>
        <w:jc w:val="left"/>
        <w:rPr>
          <w:rFonts w:ascii="Roboto" w:cs="Roboto" w:eastAsia="Roboto" w:hAnsi="Roboto"/>
        </w:rPr>
      </w:pPr>
      <w:r w:rsidDel="00000000" w:rsidR="00000000" w:rsidRPr="00000000">
        <w:rPr>
          <w:rtl w:val="0"/>
        </w:rPr>
        <w:t xml:space="preserve">Iniciá el trámite </w:t>
      </w:r>
      <w:hyperlink r:id="rId8">
        <w:r w:rsidDel="00000000" w:rsidR="00000000" w:rsidRPr="00000000">
          <w:rPr>
            <w:color w:val="1155cc"/>
            <w:u w:val="single"/>
            <w:rtl w:val="0"/>
          </w:rPr>
          <w:t xml:space="preserve">“Adaptación al Mercado Local (AML) No eléctrico - APERTURA” en TAD.</w:t>
        </w:r>
      </w:hyperlink>
      <w:r w:rsidDel="00000000" w:rsidR="00000000" w:rsidRPr="00000000">
        <w:rPr>
          <w:rtl w:val="0"/>
        </w:rPr>
      </w:r>
    </w:p>
    <w:p w:rsidR="00000000" w:rsidDel="00000000" w:rsidP="00000000" w:rsidRDefault="00000000" w:rsidRPr="00000000" w14:paraId="00000019">
      <w:pPr>
        <w:widowControl w:val="0"/>
        <w:numPr>
          <w:ilvl w:val="0"/>
          <w:numId w:val="3"/>
        </w:numPr>
        <w:ind w:left="720" w:right="-2" w:hanging="360"/>
        <w:jc w:val="left"/>
        <w:rPr>
          <w:rFonts w:ascii="Roboto" w:cs="Roboto" w:eastAsia="Roboto" w:hAnsi="Roboto"/>
        </w:rPr>
      </w:pPr>
      <w:r w:rsidDel="00000000" w:rsidR="00000000" w:rsidRPr="00000000">
        <w:rPr>
          <w:rtl w:val="0"/>
        </w:rPr>
        <w:t xml:space="preserve">Completá la  información sobre apoderamiento.</w:t>
      </w:r>
      <w:r w:rsidDel="00000000" w:rsidR="00000000" w:rsidRPr="00000000">
        <w:rPr>
          <w:rtl w:val="0"/>
        </w:rPr>
      </w:r>
    </w:p>
    <w:p w:rsidR="00000000" w:rsidDel="00000000" w:rsidP="00000000" w:rsidRDefault="00000000" w:rsidRPr="00000000" w14:paraId="0000001A">
      <w:pPr>
        <w:widowControl w:val="0"/>
        <w:numPr>
          <w:ilvl w:val="0"/>
          <w:numId w:val="3"/>
        </w:numPr>
        <w:ind w:left="720" w:right="-2" w:hanging="360"/>
        <w:jc w:val="left"/>
        <w:rPr>
          <w:rFonts w:ascii="Roboto" w:cs="Roboto" w:eastAsia="Roboto" w:hAnsi="Roboto"/>
        </w:rPr>
      </w:pPr>
      <w:r w:rsidDel="00000000" w:rsidR="00000000" w:rsidRPr="00000000">
        <w:rPr>
          <w:rtl w:val="0"/>
        </w:rPr>
        <w:t xml:space="preserve">Adjuntá</w:t>
      </w:r>
      <w:r w:rsidDel="00000000" w:rsidR="00000000" w:rsidRPr="00000000">
        <w:rPr>
          <w:rtl w:val="0"/>
        </w:rPr>
        <w:t xml:space="preserve"> la siguiente documentación: </w:t>
      </w:r>
      <w:r w:rsidDel="00000000" w:rsidR="00000000" w:rsidRPr="00000000">
        <w:rPr>
          <w:rtl w:val="0"/>
        </w:rPr>
      </w:r>
    </w:p>
    <w:p w:rsidR="00000000" w:rsidDel="00000000" w:rsidP="00000000" w:rsidRDefault="00000000" w:rsidRPr="00000000" w14:paraId="0000001B">
      <w:pPr>
        <w:widowControl w:val="0"/>
        <w:numPr>
          <w:ilvl w:val="0"/>
          <w:numId w:val="1"/>
        </w:numPr>
        <w:ind w:left="1080" w:right="-2" w:hanging="360"/>
        <w:jc w:val="left"/>
        <w:rPr/>
      </w:pPr>
      <w:r w:rsidDel="00000000" w:rsidR="00000000" w:rsidRPr="00000000">
        <w:rPr>
          <w:rtl w:val="0"/>
        </w:rPr>
        <w:t xml:space="preserve">Declaración Jurada de Apertura</w:t>
      </w:r>
      <w:r w:rsidDel="00000000" w:rsidR="00000000" w:rsidRPr="00000000">
        <w:rPr>
          <w:rtl w:val="0"/>
        </w:rPr>
      </w:r>
    </w:p>
    <w:p w:rsidR="00000000" w:rsidDel="00000000" w:rsidP="00000000" w:rsidRDefault="00000000" w:rsidRPr="00000000" w14:paraId="0000001C">
      <w:pPr>
        <w:widowControl w:val="0"/>
        <w:numPr>
          <w:ilvl w:val="0"/>
          <w:numId w:val="1"/>
        </w:numPr>
        <w:ind w:left="1080" w:right="-2" w:hanging="360"/>
        <w:jc w:val="left"/>
        <w:rPr/>
      </w:pPr>
      <w:r w:rsidDel="00000000" w:rsidR="00000000" w:rsidRPr="00000000">
        <w:rPr>
          <w:rtl w:val="0"/>
        </w:rPr>
        <w:t xml:space="preserve">Folletería del producto, de modo que el analista comprenda el mismo</w:t>
      </w:r>
    </w:p>
    <w:p w:rsidR="00000000" w:rsidDel="00000000" w:rsidP="00000000" w:rsidRDefault="00000000" w:rsidRPr="00000000" w14:paraId="0000001D">
      <w:pPr>
        <w:widowControl w:val="0"/>
        <w:numPr>
          <w:ilvl w:val="0"/>
          <w:numId w:val="1"/>
        </w:numPr>
        <w:ind w:left="1080" w:right="-2" w:hanging="360"/>
        <w:jc w:val="left"/>
        <w:rPr/>
      </w:pPr>
      <w:r w:rsidDel="00000000" w:rsidR="00000000" w:rsidRPr="00000000">
        <w:rPr>
          <w:rtl w:val="0"/>
        </w:rPr>
        <w:t xml:space="preserve">Conocimiento de embarque (B/L), en caso de corresponder</w:t>
      </w:r>
    </w:p>
    <w:p w:rsidR="00000000" w:rsidDel="00000000" w:rsidP="00000000" w:rsidRDefault="00000000" w:rsidRPr="00000000" w14:paraId="0000001E">
      <w:pPr>
        <w:numPr>
          <w:ilvl w:val="0"/>
          <w:numId w:val="1"/>
        </w:numPr>
        <w:spacing w:after="200" w:before="200" w:line="276" w:lineRule="auto"/>
        <w:ind w:left="1080" w:hanging="360"/>
        <w:rPr/>
      </w:pPr>
      <w:r w:rsidDel="00000000" w:rsidR="00000000" w:rsidRPr="00000000">
        <w:rPr>
          <w:rtl w:val="0"/>
        </w:rPr>
        <w:t xml:space="preserve">Constancia actualizada de inscripción al RUMP.</w:t>
      </w:r>
    </w:p>
    <w:p w:rsidR="00000000" w:rsidDel="00000000" w:rsidP="00000000" w:rsidRDefault="00000000" w:rsidRPr="00000000" w14:paraId="0000001F">
      <w:pPr>
        <w:numPr>
          <w:ilvl w:val="0"/>
          <w:numId w:val="1"/>
        </w:numPr>
        <w:spacing w:after="200" w:before="200" w:line="276" w:lineRule="auto"/>
        <w:ind w:left="1080" w:hanging="360"/>
        <w:rPr/>
      </w:pPr>
      <w:r w:rsidDel="00000000" w:rsidR="00000000" w:rsidRPr="00000000">
        <w:rPr>
          <w:rtl w:val="0"/>
        </w:rPr>
        <w:t xml:space="preserve">Factura comercial o proforma.</w:t>
      </w:r>
    </w:p>
    <w:p w:rsidR="00000000" w:rsidDel="00000000" w:rsidP="00000000" w:rsidRDefault="00000000" w:rsidRPr="00000000" w14:paraId="00000020">
      <w:pPr>
        <w:numPr>
          <w:ilvl w:val="0"/>
          <w:numId w:val="1"/>
        </w:numPr>
        <w:spacing w:after="200" w:before="200" w:line="276" w:lineRule="auto"/>
        <w:ind w:left="1080" w:hanging="360"/>
        <w:rPr/>
      </w:pPr>
      <w:r w:rsidDel="00000000" w:rsidR="00000000" w:rsidRPr="00000000">
        <w:rPr>
          <w:rtl w:val="0"/>
        </w:rPr>
        <w:t xml:space="preserve">Otra documentación para respaldar tu solicitud de apertura de AML.</w:t>
      </w:r>
    </w:p>
    <w:p w:rsidR="00000000" w:rsidDel="00000000" w:rsidP="00000000" w:rsidRDefault="00000000" w:rsidRPr="00000000" w14:paraId="00000021">
      <w:pPr>
        <w:widowControl w:val="0"/>
        <w:ind w:right="-2"/>
        <w:rPr>
          <w:b w:val="1"/>
          <w:color w:val="0090d0"/>
        </w:rPr>
      </w:pPr>
      <w:r w:rsidDel="00000000" w:rsidR="00000000" w:rsidRPr="00000000">
        <w:rPr>
          <w:rtl w:val="0"/>
        </w:rPr>
        <w:t xml:space="preserve">La Autoridad de Aplicación emitirá una nota de aceptación, que te será notificada vía TAD,  con la cual estarás en condiciones de poder retirar la mercadería de aduana. Los productos no pueden ser retirados de aduana, hasta no tener la respectiva nota de aceptación emitida por esta dirección.</w:t>
      </w:r>
      <w:r w:rsidDel="00000000" w:rsidR="00000000" w:rsidRPr="00000000">
        <w:rPr>
          <w:rtl w:val="0"/>
        </w:rPr>
      </w:r>
    </w:p>
    <w:p w:rsidR="00000000" w:rsidDel="00000000" w:rsidP="00000000" w:rsidRDefault="00000000" w:rsidRPr="00000000" w14:paraId="00000022">
      <w:pPr>
        <w:pStyle w:val="Heading3"/>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300" w:before="600" w:line="276" w:lineRule="auto"/>
        <w:ind w:left="720" w:right="489" w:hanging="360"/>
        <w:jc w:val="both"/>
      </w:pPr>
      <w:bookmarkStart w:colFirst="0" w:colLast="0" w:name="_heading=h.yxms6v7oouh6" w:id="8"/>
      <w:bookmarkEnd w:id="8"/>
      <w:r w:rsidDel="00000000" w:rsidR="00000000" w:rsidRPr="00000000">
        <w:rPr>
          <w:vertAlign w:val="baseline"/>
          <w:rtl w:val="0"/>
        </w:rPr>
        <w:t xml:space="preserve">Adaptación</w:t>
      </w:r>
    </w:p>
    <w:p w:rsidR="00000000" w:rsidDel="00000000" w:rsidP="00000000" w:rsidRDefault="00000000" w:rsidRPr="00000000" w14:paraId="00000023">
      <w:pPr>
        <w:rPr/>
      </w:pPr>
      <w:r w:rsidDel="00000000" w:rsidR="00000000" w:rsidRPr="00000000">
        <w:rPr>
          <w:rtl w:val="0"/>
        </w:rPr>
        <w:t xml:space="preserve">Una vez liberada la mercadería por Aduana tenés 30 días corridos para realizar el etiquetado de los productos conforme a las exigencias de la normativa de referencia. Una vez realizada la adaptación, debés presentar el cierre de AML ante la Autoridad de Aplicación.</w:t>
      </w:r>
    </w:p>
    <w:p w:rsidR="00000000" w:rsidDel="00000000" w:rsidP="00000000" w:rsidRDefault="00000000" w:rsidRPr="00000000" w14:paraId="00000024">
      <w:pPr>
        <w:pStyle w:val="Heading3"/>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600" w:line="276" w:lineRule="auto"/>
        <w:ind w:left="720" w:right="489" w:hanging="360"/>
        <w:jc w:val="both"/>
      </w:pPr>
      <w:bookmarkStart w:colFirst="0" w:colLast="0" w:name="_heading=h.opwrluvj4zr4" w:id="9"/>
      <w:bookmarkEnd w:id="9"/>
      <w:r w:rsidDel="00000000" w:rsidR="00000000" w:rsidRPr="00000000">
        <w:rPr>
          <w:rtl w:val="0"/>
        </w:rPr>
        <w:t xml:space="preserve">Para realizar el Cierre del trámite de AML y poder comercializar tus productos:</w:t>
      </w:r>
      <w:r w:rsidDel="00000000" w:rsidR="00000000" w:rsidRPr="00000000">
        <w:rPr>
          <w:rtl w:val="0"/>
        </w:rPr>
      </w:r>
    </w:p>
    <w:p w:rsidR="00000000" w:rsidDel="00000000" w:rsidP="00000000" w:rsidRDefault="00000000" w:rsidRPr="00000000" w14:paraId="00000025">
      <w:pPr>
        <w:numPr>
          <w:ilvl w:val="0"/>
          <w:numId w:val="4"/>
        </w:numPr>
        <w:spacing w:after="200" w:before="80" w:line="276" w:lineRule="auto"/>
        <w:ind w:left="720" w:right="-40.8661417322827" w:hanging="360"/>
        <w:jc w:val="left"/>
        <w:rPr>
          <w:rFonts w:ascii="Roboto" w:cs="Roboto" w:eastAsia="Roboto" w:hAnsi="Roboto"/>
        </w:rPr>
      </w:pPr>
      <w:r w:rsidDel="00000000" w:rsidR="00000000" w:rsidRPr="00000000">
        <w:rPr>
          <w:rtl w:val="0"/>
        </w:rPr>
        <w:t xml:space="preserve">Iniciá el trámite </w:t>
      </w:r>
      <w:hyperlink r:id="rId9">
        <w:r w:rsidDel="00000000" w:rsidR="00000000" w:rsidRPr="00000000">
          <w:rPr>
            <w:color w:val="1155cc"/>
            <w:u w:val="single"/>
            <w:rtl w:val="0"/>
          </w:rPr>
          <w:t xml:space="preserve">“Adaptación al Mercado Local (AML) No eléctrico - CIERRE” en TAD.</w:t>
        </w:r>
      </w:hyperlink>
      <w:r w:rsidDel="00000000" w:rsidR="00000000" w:rsidRPr="00000000">
        <w:rPr>
          <w:rtl w:val="0"/>
        </w:rPr>
      </w:r>
    </w:p>
    <w:p w:rsidR="00000000" w:rsidDel="00000000" w:rsidP="00000000" w:rsidRDefault="00000000" w:rsidRPr="00000000" w14:paraId="00000026">
      <w:pPr>
        <w:numPr>
          <w:ilvl w:val="0"/>
          <w:numId w:val="4"/>
        </w:numPr>
        <w:ind w:left="720" w:hanging="360"/>
        <w:rPr>
          <w:rFonts w:ascii="Roboto" w:cs="Roboto" w:eastAsia="Roboto" w:hAnsi="Roboto"/>
        </w:rPr>
      </w:pPr>
      <w:r w:rsidDel="00000000" w:rsidR="00000000" w:rsidRPr="00000000">
        <w:rPr>
          <w:rtl w:val="0"/>
        </w:rPr>
        <w:t xml:space="preserve">Completá la  información sobre apoderamiento.</w:t>
      </w:r>
      <w:r w:rsidDel="00000000" w:rsidR="00000000" w:rsidRPr="00000000">
        <w:rPr>
          <w:rtl w:val="0"/>
        </w:rPr>
      </w:r>
    </w:p>
    <w:p w:rsidR="00000000" w:rsidDel="00000000" w:rsidP="00000000" w:rsidRDefault="00000000" w:rsidRPr="00000000" w14:paraId="00000027">
      <w:pPr>
        <w:numPr>
          <w:ilvl w:val="0"/>
          <w:numId w:val="4"/>
        </w:numPr>
        <w:ind w:left="720" w:hanging="360"/>
        <w:rPr>
          <w:rFonts w:ascii="Roboto" w:cs="Roboto" w:eastAsia="Roboto" w:hAnsi="Roboto"/>
        </w:rPr>
      </w:pPr>
      <w:r w:rsidDel="00000000" w:rsidR="00000000" w:rsidRPr="00000000">
        <w:rPr>
          <w:rtl w:val="0"/>
        </w:rPr>
        <w:t xml:space="preserve">Adjuntá</w:t>
      </w:r>
      <w:r w:rsidDel="00000000" w:rsidR="00000000" w:rsidRPr="00000000">
        <w:rPr>
          <w:rtl w:val="0"/>
        </w:rPr>
        <w:t xml:space="preserve"> la siguiente documentación:</w:t>
      </w:r>
      <w:r w:rsidDel="00000000" w:rsidR="00000000" w:rsidRPr="00000000">
        <w:rPr>
          <w:rtl w:val="0"/>
        </w:rPr>
      </w:r>
    </w:p>
    <w:p w:rsidR="00000000" w:rsidDel="00000000" w:rsidP="00000000" w:rsidRDefault="00000000" w:rsidRPr="00000000" w14:paraId="00000028">
      <w:pPr>
        <w:numPr>
          <w:ilvl w:val="0"/>
          <w:numId w:val="5"/>
        </w:numPr>
        <w:ind w:left="1080" w:hanging="360"/>
        <w:rPr/>
      </w:pPr>
      <w:r w:rsidDel="00000000" w:rsidR="00000000" w:rsidRPr="00000000">
        <w:rPr>
          <w:rtl w:val="0"/>
        </w:rPr>
        <w:t xml:space="preserve">Declaración Jurada de Cierre</w:t>
      </w:r>
      <w:r w:rsidDel="00000000" w:rsidR="00000000" w:rsidRPr="00000000">
        <w:rPr>
          <w:rtl w:val="0"/>
        </w:rPr>
      </w:r>
    </w:p>
    <w:p w:rsidR="00000000" w:rsidDel="00000000" w:rsidP="00000000" w:rsidRDefault="00000000" w:rsidRPr="00000000" w14:paraId="00000029">
      <w:pPr>
        <w:numPr>
          <w:ilvl w:val="0"/>
          <w:numId w:val="5"/>
        </w:numPr>
        <w:ind w:left="1080" w:hanging="360"/>
        <w:rPr/>
      </w:pPr>
      <w:r w:rsidDel="00000000" w:rsidR="00000000" w:rsidRPr="00000000">
        <w:rPr>
          <w:rtl w:val="0"/>
        </w:rPr>
        <w:t xml:space="preserve">Despacho Oficializado.</w:t>
      </w:r>
    </w:p>
    <w:p w:rsidR="00000000" w:rsidDel="00000000" w:rsidP="00000000" w:rsidRDefault="00000000" w:rsidRPr="00000000" w14:paraId="0000002A">
      <w:pPr>
        <w:numPr>
          <w:ilvl w:val="0"/>
          <w:numId w:val="5"/>
        </w:numPr>
        <w:ind w:left="1080" w:hanging="360"/>
        <w:rPr/>
      </w:pPr>
      <w:r w:rsidDel="00000000" w:rsidR="00000000" w:rsidRPr="00000000">
        <w:rPr>
          <w:rtl w:val="0"/>
        </w:rPr>
        <w:t xml:space="preserve">Copia de la nota de Apertura solicitada con nota de aceptación.</w:t>
      </w:r>
    </w:p>
    <w:p w:rsidR="00000000" w:rsidDel="00000000" w:rsidP="00000000" w:rsidRDefault="00000000" w:rsidRPr="00000000" w14:paraId="0000002B">
      <w:pPr>
        <w:numPr>
          <w:ilvl w:val="0"/>
          <w:numId w:val="5"/>
        </w:numPr>
        <w:ind w:left="1080" w:hanging="360"/>
        <w:rPr/>
      </w:pPr>
      <w:r w:rsidDel="00000000" w:rsidR="00000000" w:rsidRPr="00000000">
        <w:rPr>
          <w:rtl w:val="0"/>
        </w:rPr>
        <w:t xml:space="preserve">Fotografías del etiquetado realizado.</w:t>
      </w:r>
      <w:r w:rsidDel="00000000" w:rsidR="00000000" w:rsidRPr="00000000">
        <w:rPr>
          <w:rtl w:val="0"/>
        </w:rPr>
      </w:r>
    </w:p>
    <w:p w:rsidR="00000000" w:rsidDel="00000000" w:rsidP="00000000" w:rsidRDefault="00000000" w:rsidRPr="00000000" w14:paraId="0000002C">
      <w:pPr>
        <w:numPr>
          <w:ilvl w:val="0"/>
          <w:numId w:val="5"/>
        </w:numPr>
        <w:spacing w:after="300" w:afterAutospacing="0" w:lineRule="auto"/>
        <w:ind w:left="1080" w:hanging="360"/>
        <w:rPr/>
      </w:pPr>
      <w:r w:rsidDel="00000000" w:rsidR="00000000" w:rsidRPr="00000000">
        <w:rPr>
          <w:rtl w:val="0"/>
        </w:rPr>
        <w:t xml:space="preserve">Otra documentación, si corresponde.</w:t>
      </w:r>
    </w:p>
    <w:p w:rsidR="00000000" w:rsidDel="00000000" w:rsidP="00000000" w:rsidRDefault="00000000" w:rsidRPr="00000000" w14:paraId="0000002D">
      <w:pPr>
        <w:pStyle w:val="Heading3"/>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300" w:before="300" w:beforeAutospacing="0" w:line="276" w:lineRule="auto"/>
        <w:ind w:left="720" w:right="489" w:hanging="360"/>
        <w:jc w:val="both"/>
      </w:pPr>
      <w:bookmarkStart w:colFirst="0" w:colLast="0" w:name="_heading=h.sllnq899cz2q" w:id="10"/>
      <w:bookmarkEnd w:id="10"/>
      <w:r w:rsidDel="00000000" w:rsidR="00000000" w:rsidRPr="00000000">
        <w:rPr>
          <w:vertAlign w:val="baseline"/>
          <w:rtl w:val="0"/>
        </w:rPr>
        <w:t xml:space="preserve">Fiscalización</w:t>
      </w:r>
    </w:p>
    <w:p w:rsidR="00000000" w:rsidDel="00000000" w:rsidP="00000000" w:rsidRDefault="00000000" w:rsidRPr="00000000" w14:paraId="0000002E">
      <w:pPr>
        <w:widowControl w:val="0"/>
        <w:spacing w:after="300" w:lineRule="auto"/>
        <w:ind w:right="-2"/>
        <w:rPr/>
      </w:pPr>
      <w:r w:rsidDel="00000000" w:rsidR="00000000" w:rsidRPr="00000000">
        <w:rPr>
          <w:rtl w:val="0"/>
        </w:rPr>
        <w:t xml:space="preserve">Después de presentado el cierre de AML, la mercadería debe permanecer en el depósito declarado, disponible a piso, durante 10 días hábiles para poder ser inspeccionada en caso de que la autoridad lo considere necesario. Luego de dicho plazo, podrás disponer de los productos para su comercialización.</w:t>
      </w:r>
    </w:p>
    <w:p w:rsidR="00000000" w:rsidDel="00000000" w:rsidP="00000000" w:rsidRDefault="00000000" w:rsidRPr="00000000" w14:paraId="0000002F">
      <w:pPr>
        <w:numPr>
          <w:ilvl w:val="0"/>
          <w:numId w:val="7"/>
        </w:numPr>
        <w:shd w:fill="ffffff" w:val="clear"/>
        <w:spacing w:after="360" w:line="384.00000000000006"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solicitar una excepción a la adaptación</w:t>
      </w:r>
      <w:r w:rsidDel="00000000" w:rsidR="00000000" w:rsidRPr="00000000">
        <w:rPr>
          <w:rtl w:val="0"/>
        </w:rPr>
      </w:r>
    </w:p>
    <w:p w:rsidR="00000000" w:rsidDel="00000000" w:rsidP="00000000" w:rsidRDefault="00000000" w:rsidRPr="00000000" w14:paraId="00000030">
      <w:pPr>
        <w:spacing w:after="200" w:before="80" w:line="276" w:lineRule="auto"/>
        <w:ind w:left="0" w:right="-40.8661417322827" w:firstLine="0"/>
        <w:jc w:val="left"/>
        <w:rPr>
          <w:vertAlign w:val="baseline"/>
        </w:rPr>
      </w:pPr>
      <w:r w:rsidDel="00000000" w:rsidR="00000000" w:rsidRPr="00000000">
        <w:rPr>
          <w:rtl w:val="0"/>
        </w:rPr>
        <w:t xml:space="preserve">Si consideras que tus productos están incluídos en el punto 3 del Anexo I de la Resolución SCI 910/21, podes</w:t>
      </w:r>
      <w:r w:rsidDel="00000000" w:rsidR="00000000" w:rsidRPr="00000000">
        <w:rPr>
          <w:rtl w:val="0"/>
        </w:rPr>
        <w:t xml:space="preserve"> solicitar una excepción a la adaptación. </w:t>
      </w:r>
      <w:r w:rsidDel="00000000" w:rsidR="00000000" w:rsidRPr="00000000">
        <w:rPr>
          <w:rtl w:val="0"/>
        </w:rPr>
      </w:r>
    </w:p>
    <w:p w:rsidR="00000000" w:rsidDel="00000000" w:rsidP="00000000" w:rsidRDefault="00000000" w:rsidRPr="00000000" w14:paraId="00000031">
      <w:pPr>
        <w:numPr>
          <w:ilvl w:val="0"/>
          <w:numId w:val="8"/>
        </w:numPr>
        <w:ind w:left="720" w:hanging="360"/>
        <w:jc w:val="left"/>
        <w:rPr>
          <w:rFonts w:ascii="Roboto" w:cs="Roboto" w:eastAsia="Roboto" w:hAnsi="Roboto"/>
        </w:rPr>
      </w:pPr>
      <w:r w:rsidDel="00000000" w:rsidR="00000000" w:rsidRPr="00000000">
        <w:rPr>
          <w:rtl w:val="0"/>
        </w:rPr>
        <w:t xml:space="preserve">Iniciá el trámite </w:t>
      </w:r>
      <w:hyperlink r:id="rId10">
        <w:r w:rsidDel="00000000" w:rsidR="00000000" w:rsidRPr="00000000">
          <w:rPr>
            <w:color w:val="1155cc"/>
            <w:u w:val="single"/>
            <w:rtl w:val="0"/>
          </w:rPr>
          <w:t xml:space="preserve">“Adaptación al Mercado Local (AML) No eléctrico - EXCEPCIÓN” en TAD.</w:t>
        </w:r>
      </w:hyperlink>
      <w:r w:rsidDel="00000000" w:rsidR="00000000" w:rsidRPr="00000000">
        <w:rPr>
          <w:rtl w:val="0"/>
        </w:rPr>
      </w:r>
    </w:p>
    <w:p w:rsidR="00000000" w:rsidDel="00000000" w:rsidP="00000000" w:rsidRDefault="00000000" w:rsidRPr="00000000" w14:paraId="00000032">
      <w:pPr>
        <w:numPr>
          <w:ilvl w:val="0"/>
          <w:numId w:val="8"/>
        </w:numPr>
        <w:ind w:left="720" w:hanging="360"/>
        <w:jc w:val="left"/>
        <w:rPr>
          <w:rFonts w:ascii="Roboto" w:cs="Roboto" w:eastAsia="Roboto" w:hAnsi="Roboto"/>
        </w:rPr>
      </w:pPr>
      <w:r w:rsidDel="00000000" w:rsidR="00000000" w:rsidRPr="00000000">
        <w:rPr>
          <w:rtl w:val="0"/>
        </w:rPr>
        <w:t xml:space="preserve">Completá la  información sobre apoderamiento.</w:t>
      </w:r>
      <w:r w:rsidDel="00000000" w:rsidR="00000000" w:rsidRPr="00000000">
        <w:rPr>
          <w:rtl w:val="0"/>
        </w:rPr>
      </w:r>
    </w:p>
    <w:p w:rsidR="00000000" w:rsidDel="00000000" w:rsidP="00000000" w:rsidRDefault="00000000" w:rsidRPr="00000000" w14:paraId="00000033">
      <w:pPr>
        <w:numPr>
          <w:ilvl w:val="0"/>
          <w:numId w:val="8"/>
        </w:numPr>
        <w:ind w:left="720" w:hanging="360"/>
        <w:jc w:val="left"/>
        <w:rPr>
          <w:rFonts w:ascii="Roboto" w:cs="Roboto" w:eastAsia="Roboto" w:hAnsi="Roboto"/>
        </w:rPr>
      </w:pPr>
      <w:r w:rsidDel="00000000" w:rsidR="00000000" w:rsidRPr="00000000">
        <w:rPr>
          <w:rtl w:val="0"/>
        </w:rPr>
        <w:t xml:space="preserve">Adjuntá</w:t>
      </w:r>
      <w:r w:rsidDel="00000000" w:rsidR="00000000" w:rsidRPr="00000000">
        <w:rPr>
          <w:rtl w:val="0"/>
        </w:rPr>
        <w:t xml:space="preserve"> la siguiente documentación:</w:t>
      </w:r>
      <w:r w:rsidDel="00000000" w:rsidR="00000000" w:rsidRPr="00000000">
        <w:rPr>
          <w:rtl w:val="0"/>
        </w:rPr>
      </w:r>
    </w:p>
    <w:p w:rsidR="00000000" w:rsidDel="00000000" w:rsidP="00000000" w:rsidRDefault="00000000" w:rsidRPr="00000000" w14:paraId="00000034">
      <w:pPr>
        <w:numPr>
          <w:ilvl w:val="0"/>
          <w:numId w:val="9"/>
        </w:numPr>
        <w:ind w:left="1080" w:hanging="360"/>
        <w:rPr/>
      </w:pPr>
      <w:r w:rsidDel="00000000" w:rsidR="00000000" w:rsidRPr="00000000">
        <w:rPr>
          <w:rtl w:val="0"/>
        </w:rPr>
        <w:t xml:space="preserve">Declaración Jurada de Excepción</w:t>
      </w:r>
      <w:r w:rsidDel="00000000" w:rsidR="00000000" w:rsidRPr="00000000">
        <w:rPr>
          <w:rtl w:val="0"/>
        </w:rPr>
      </w:r>
    </w:p>
    <w:p w:rsidR="00000000" w:rsidDel="00000000" w:rsidP="00000000" w:rsidRDefault="00000000" w:rsidRPr="00000000" w14:paraId="00000035">
      <w:pPr>
        <w:numPr>
          <w:ilvl w:val="0"/>
          <w:numId w:val="9"/>
        </w:numPr>
        <w:spacing w:after="200" w:lineRule="auto"/>
        <w:ind w:left="1080" w:hanging="360"/>
        <w:rPr/>
      </w:pPr>
      <w:r w:rsidDel="00000000" w:rsidR="00000000" w:rsidRPr="00000000">
        <w:rPr>
          <w:rtl w:val="0"/>
        </w:rPr>
        <w:t xml:space="preserve">Constancia de inscripción al RUMP actualizada.</w:t>
      </w:r>
    </w:p>
    <w:p w:rsidR="00000000" w:rsidDel="00000000" w:rsidP="00000000" w:rsidRDefault="00000000" w:rsidRPr="00000000" w14:paraId="00000036">
      <w:pPr>
        <w:numPr>
          <w:ilvl w:val="0"/>
          <w:numId w:val="9"/>
        </w:numPr>
        <w:spacing w:after="200" w:before="200" w:line="276" w:lineRule="auto"/>
        <w:ind w:left="1080" w:hanging="360"/>
        <w:rPr/>
      </w:pPr>
      <w:r w:rsidDel="00000000" w:rsidR="00000000" w:rsidRPr="00000000">
        <w:rPr>
          <w:rtl w:val="0"/>
        </w:rPr>
        <w:t xml:space="preserve">Factura comercial o proforma, en caso de corresponder.</w:t>
      </w:r>
    </w:p>
    <w:p w:rsidR="00000000" w:rsidDel="00000000" w:rsidP="00000000" w:rsidRDefault="00000000" w:rsidRPr="00000000" w14:paraId="00000037">
      <w:pPr>
        <w:numPr>
          <w:ilvl w:val="0"/>
          <w:numId w:val="9"/>
        </w:numPr>
        <w:spacing w:after="200" w:before="200" w:line="276" w:lineRule="auto"/>
        <w:ind w:left="1080" w:hanging="360"/>
        <w:rPr/>
      </w:pPr>
      <w:r w:rsidDel="00000000" w:rsidR="00000000" w:rsidRPr="00000000">
        <w:rPr>
          <w:rtl w:val="0"/>
        </w:rPr>
        <w:t xml:space="preserve">Otra documentación para respaldar tu solicitud de excepción de AML.</w:t>
      </w:r>
      <w:r w:rsidDel="00000000" w:rsidR="00000000" w:rsidRPr="00000000">
        <w:rPr>
          <w:rtl w:val="0"/>
        </w:rPr>
      </w:r>
    </w:p>
    <w:p w:rsidR="00000000" w:rsidDel="00000000" w:rsidP="00000000" w:rsidRDefault="00000000" w:rsidRPr="00000000" w14:paraId="00000038">
      <w:pPr>
        <w:shd w:fill="ffffff" w:val="clear"/>
        <w:spacing w:after="360" w:line="384.00000000000006" w:lineRule="auto"/>
        <w:rPr/>
      </w:pPr>
      <w:r w:rsidDel="00000000" w:rsidR="00000000" w:rsidRPr="00000000">
        <w:rPr>
          <w:rtl w:val="0"/>
        </w:rPr>
        <w:t xml:space="preserve">La Dirección Nacional de Reglamentos Técnicos emitirá una nota de respuesta, la cual te será notificada vía TAD. Si dicha nota es de aceptación, con la misma vas a poder retirar la mercadería de aduana.</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ind w:right="-2"/>
        <w:rPr>
          <w:color w:val="00b0f0"/>
        </w:rPr>
      </w:pPr>
      <w:r w:rsidDel="00000000" w:rsidR="00000000" w:rsidRPr="00000000">
        <w:rPr>
          <w:color w:val="00b0f0"/>
          <w:rtl w:val="0"/>
        </w:rPr>
        <w:t xml:space="preserve">Según Decreto PEN 274/2019, la  Secretaría de Comercio Interior es la Autoridad de Aplicación.</w:t>
      </w:r>
    </w:p>
    <w:p w:rsidR="00000000" w:rsidDel="00000000" w:rsidP="00000000" w:rsidRDefault="00000000" w:rsidRPr="00000000" w14:paraId="0000003E">
      <w:pPr>
        <w:spacing w:after="0" w:lineRule="auto"/>
        <w:ind w:right="-3"/>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11" w:type="default"/>
      <w:headerReference r:id="rId12" w:type="first"/>
      <w:footerReference r:id="rId13" w:type="default"/>
      <w:footerReference r:id="rId14" w:type="first"/>
      <w:pgSz w:h="16838" w:w="11906" w:orient="portrait"/>
      <w:pgMar w:bottom="1417" w:top="2834" w:left="1417" w:right="1417"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spacing w:after="0" w:lineRule="auto"/>
      <w:ind w:right="5"/>
      <w:jc w:val="center"/>
      <w:rPr>
        <w:b w:val="1"/>
        <w:color w:val="66b0fb"/>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p w:rsidR="00000000" w:rsidDel="00000000" w:rsidP="00000000" w:rsidRDefault="00000000" w:rsidRPr="00000000" w14:paraId="00000046">
    <w:pPr>
      <w:widowControl w:val="0"/>
      <w:spacing w:after="0" w:lineRule="auto"/>
      <w:ind w:right="5"/>
      <w:jc w:val="right"/>
      <w:rPr>
        <w:b w:val="1"/>
        <w:color w:val="66b0fb"/>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ind w:right="5"/>
      <w:jc w:val="center"/>
      <w:rPr>
        <w:color w:val="7f7f7f"/>
        <w:sz w:val="19"/>
        <w:szCs w:val="19"/>
      </w:rPr>
    </w:pPr>
    <w:r w:rsidDel="00000000" w:rsidR="00000000" w:rsidRPr="00000000">
      <w:rPr>
        <w:rtl w:val="0"/>
      </w:rPr>
    </w:r>
  </w:p>
  <w:p w:rsidR="00000000" w:rsidDel="00000000" w:rsidP="00000000" w:rsidRDefault="00000000" w:rsidRPr="00000000" w14:paraId="00000048">
    <w:pPr>
      <w:widowControl w:val="0"/>
      <w:ind w:left="1132" w:right="19"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line="360" w:lineRule="auto"/>
      <w:rPr/>
    </w:pPr>
    <w:r w:rsidDel="00000000" w:rsidR="00000000" w:rsidRPr="00000000">
      <w:rPr>
        <w:b w:val="1"/>
        <w:color w:val="374756"/>
        <w:sz w:val="20"/>
        <w:szCs w:val="20"/>
      </w:rPr>
      <w:drawing>
        <wp:inline distB="114300" distT="114300" distL="114300" distR="114300">
          <wp:extent cx="1434521" cy="838200"/>
          <wp:effectExtent b="0" l="0" r="0" t="0"/>
          <wp:docPr id="13"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360" w:lineRule="auto"/>
      <w:rPr>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19057</wp:posOffset>
          </wp:positionH>
          <wp:positionV relativeFrom="paragraph">
            <wp:posOffset>19057</wp:posOffset>
          </wp:positionV>
          <wp:extent cx="1381125" cy="1009650"/>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1"/>
                  <a:srcRect b="-5174"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41">
    <w:pPr>
      <w:widowControl w:val="0"/>
      <w:spacing w:line="360" w:lineRule="auto"/>
      <w:jc w:val="right"/>
      <w:rPr>
        <w:b w:val="1"/>
        <w:color w:val="374756"/>
        <w:sz w:val="20"/>
        <w:szCs w:val="20"/>
      </w:rPr>
    </w:pPr>
    <w:r w:rsidDel="00000000" w:rsidR="00000000" w:rsidRPr="00000000">
      <w:rPr>
        <w:rtl w:val="0"/>
      </w:rPr>
    </w:r>
  </w:p>
  <w:p w:rsidR="00000000" w:rsidDel="00000000" w:rsidP="00000000" w:rsidRDefault="00000000" w:rsidRPr="00000000" w14:paraId="00000042">
    <w:pPr>
      <w:widowControl w:val="0"/>
      <w:spacing w:after="500" w:before="100" w:line="360" w:lineRule="auto"/>
      <w:jc w:val="right"/>
      <w:rPr>
        <w:b w:val="1"/>
        <w:color w:val="666666"/>
        <w:sz w:val="16"/>
        <w:szCs w:val="16"/>
      </w:rPr>
    </w:pPr>
    <w:r w:rsidDel="00000000" w:rsidR="00000000" w:rsidRPr="00000000">
      <w:rPr>
        <w:color w:val="666666"/>
        <w:sz w:val="16"/>
        <w:szCs w:val="16"/>
        <w:rtl w:val="0"/>
      </w:rPr>
      <w:t xml:space="preserve"> Instructivo </w:t>
    </w:r>
    <w:r w:rsidDel="00000000" w:rsidR="00000000" w:rsidRPr="00000000">
      <w:rPr>
        <w:b w:val="1"/>
        <w:color w:val="666666"/>
        <w:sz w:val="16"/>
        <w:szCs w:val="16"/>
        <w:rtl w:val="0"/>
      </w:rPr>
      <w:t xml:space="preserve">Placas y Baldosas Cerámicas</w:t>
    </w:r>
  </w:p>
  <w:p w:rsidR="00000000" w:rsidDel="00000000" w:rsidP="00000000" w:rsidRDefault="00000000" w:rsidRPr="00000000" w14:paraId="00000043">
    <w:pPr>
      <w:widowControl w:val="0"/>
      <w:spacing w:line="360" w:lineRule="auto"/>
      <w:jc w:val="right"/>
      <w:rPr>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widowControl w:val="0"/>
      <w:spacing w:line="360" w:lineRule="auto"/>
      <w:jc w:val="right"/>
      <w:rPr>
        <w:b w:val="1"/>
        <w:color w:val="374756"/>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2">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6">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color w:val="37bbe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color w:val="37bbed"/>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400" w:lineRule="auto"/>
      <w:ind w:right="19"/>
    </w:pPr>
    <w:rPr>
      <w:rFonts w:ascii="Encode Sans" w:cs="Encode Sans" w:eastAsia="Encode Sans" w:hAnsi="Encode Sans"/>
      <w:b w:val="1"/>
      <w:color w:val="00b0f0"/>
      <w:sz w:val="32"/>
      <w:szCs w:val="32"/>
    </w:rPr>
  </w:style>
  <w:style w:type="paragraph" w:styleId="Heading2">
    <w:name w:val="heading 2"/>
    <w:basedOn w:val="Normal"/>
    <w:next w:val="Normal"/>
    <w:pPr>
      <w:keepNext w:val="1"/>
      <w:keepLines w:val="1"/>
      <w:spacing w:after="300" w:before="600" w:lineRule="auto"/>
      <w:ind w:right="940"/>
    </w:pPr>
    <w:rPr>
      <w:b w:val="1"/>
      <w:color w:val="00b0f0"/>
      <w:sz w:val="28"/>
      <w:szCs w:val="28"/>
    </w:rPr>
  </w:style>
  <w:style w:type="paragraph" w:styleId="Heading3">
    <w:name w:val="heading 3"/>
    <w:basedOn w:val="Normal"/>
    <w:next w:val="Normal"/>
    <w:pPr>
      <w:keepNext w:val="1"/>
      <w:keepLines w:val="1"/>
      <w:spacing w:after="300" w:before="600" w:lineRule="auto"/>
      <w:ind w:right="489"/>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00" w:before="1800" w:line="240" w:lineRule="auto"/>
      <w:ind w:right="19"/>
    </w:pPr>
    <w:rPr>
      <w:rFonts w:ascii="Encode Sans Condensed Thin" w:cs="Encode Sans Condensed Thin" w:eastAsia="Encode Sans Condensed Thin" w:hAnsi="Encode Sans Condensed Thin"/>
      <w:color w:val="37bbed"/>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667B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667B6"/>
    <w:rPr>
      <w:rFonts w:ascii="Tahoma" w:cs="Tahoma" w:hAnsi="Tahoma"/>
      <w:sz w:val="16"/>
      <w:szCs w:val="16"/>
    </w:rPr>
  </w:style>
  <w:style w:type="paragraph" w:styleId="Sinespaciado">
    <w:name w:val="No Spacing"/>
    <w:uiPriority w:val="1"/>
    <w:qFormat w:val="1"/>
    <w:rsid w:val="006667B6"/>
    <w:pPr>
      <w:spacing w:after="0" w:line="240" w:lineRule="auto"/>
    </w:pPr>
  </w:style>
  <w:style w:type="paragraph" w:styleId="NormalWeb">
    <w:name w:val="Normal (Web)"/>
    <w:basedOn w:val="Normal"/>
    <w:uiPriority w:val="99"/>
    <w:semiHidden w:val="1"/>
    <w:unhideWhenUsed w:val="1"/>
    <w:rsid w:val="006667B6"/>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891BD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tramitesadistancia.gob.ar/tramitesadistancia/detalle-tipo?id=1034"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detalle-tipo?id=103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icios.infoleg.gob.ar/infolegInternet/anexos/350000-354999/354020/norma.htm" TargetMode="External"/><Relationship Id="rId8" Type="http://schemas.openxmlformats.org/officeDocument/2006/relationships/hyperlink" Target="https://tramitesadistancia.gob.ar/tramitesadistancia/detalle-tipo?id=10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agNtvJLytnfO6iH6FDGJeP+8g==">AMUW2mUQOUCW0OKU1avdzyeaoloA6ojZU8/DuLR5N1YtgYAWAlzTDs5cXVNR34ds/Z8CcJdnH9T1Fxqs34RSjcqCappEIVAda6zBuLrVVHeJ4YL+Dhhu3FtTzHdr8jMBv6vJJsCFDoXF60Tz8dRlkC94qJtnlbwT7C+o17CnubGPQBopkgtvbQThl38e1szg3CbrPqFsi2BwDKaniNpZp5fmwq/vsjMxWqFx3DZTLronH1PKDwXL9MDGKf+YXoi7taAtEatPQHXjaI5r/j/Ew4tXdadCo7j1qp4fsibZUEcqXkNbUCJSHZ8he1k+sFcateM3K6WDaJUHGteOBhS206LKchf7er8aB+o77QWzbO/aE/sYfo2BIUT9wP4ufUrXEk0ioQ77f9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2021-05-21T21:39:00Z</dcterms:created>
  <dc:creator>PC</dc:creator>
</cp:coreProperties>
</file>