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9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9640"/>
        <w:gridCol w:w="2140"/>
      </w:tblGrid>
      <w:tr w:rsidR="00B001F8" w:rsidRPr="00B001F8" w:rsidTr="00B001F8">
        <w:trPr>
          <w:trHeight w:val="315"/>
        </w:trPr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bookmarkStart w:id="0" w:name="_GoBack"/>
            <w:bookmarkEnd w:id="0"/>
            <w:r w:rsidRPr="00B001F8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Código</w:t>
            </w:r>
          </w:p>
        </w:tc>
        <w:tc>
          <w:tcPr>
            <w:tcW w:w="96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Concepto</w:t>
            </w:r>
          </w:p>
        </w:tc>
        <w:tc>
          <w:tcPr>
            <w:tcW w:w="2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 xml:space="preserve">Unidad de Medida 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LAB.078.A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Red Nacional de Laboratorios: </w:t>
            </w:r>
            <w:proofErr w:type="spellStart"/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Interlaboratorio</w:t>
            </w:r>
            <w:proofErr w:type="spellEnd"/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(rubro analítico)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LAB078.B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Laboratorios: Recepción y evaluación de la documentación para alta de rubro.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(rubro analítico)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LAB078.C 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Laboratorios: Auditoría.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(por día)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LAB078.D 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Laboratorios: Mantenimiento Anual de Laboratorios Acreditados bajo Norma 17025. Vencimiento al 31/03.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(cada 10 rubros)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LAB078.E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Laboratorios: Mantenimiento Anual de Laboratorios con BPL SENASA/BPL OCDE. Vencimiento al 31/03.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(rubro)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LAB078.F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 del área vegetal, residuos químicos e inocuidad de alimentos de origen animal: Registro para la emisión de resultados en Laboratorios acreditados bajo Norma ISO 17025.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(por informe de resultado)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LAB078.G 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Laboratorios: Recepción y evaluación de la documentación para alta de Laboratorio Extranjero.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(laboratorio)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LAB078.H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</w:t>
            </w:r>
            <w:proofErr w:type="gramStart"/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:  Recepción</w:t>
            </w:r>
            <w:proofErr w:type="gramEnd"/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 y evaluación de la documentación para ampliación de rubro. 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(Analítico/Técnica)</w:t>
            </w:r>
          </w:p>
        </w:tc>
      </w:tr>
      <w:tr w:rsidR="00B001F8" w:rsidRPr="00B001F8" w:rsidTr="00B001F8">
        <w:trPr>
          <w:trHeight w:val="900"/>
        </w:trPr>
        <w:tc>
          <w:tcPr>
            <w:tcW w:w="1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LAB078.I</w:t>
            </w:r>
          </w:p>
        </w:tc>
        <w:tc>
          <w:tcPr>
            <w:tcW w:w="9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Red Nacional de Laboratorios área de Sanidad Animal: Registro para la emisión de resultados exportación/importación de Laboratorios acreditados bajo Norma ISO17025.</w:t>
            </w:r>
          </w:p>
        </w:tc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001F8" w:rsidRPr="00B001F8" w:rsidRDefault="00B001F8" w:rsidP="00B001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B001F8">
              <w:rPr>
                <w:rFonts w:ascii="Calibri" w:eastAsia="Times New Roman" w:hAnsi="Calibri" w:cs="Calibri"/>
                <w:color w:val="000000"/>
                <w:lang w:eastAsia="es-ES"/>
              </w:rPr>
              <w:t>1 U. (por informe de resultado)</w:t>
            </w:r>
          </w:p>
        </w:tc>
      </w:tr>
    </w:tbl>
    <w:p w:rsidR="00840ED6" w:rsidRDefault="00840ED6"/>
    <w:sectPr w:rsidR="00840ED6" w:rsidSect="00B001F8">
      <w:pgSz w:w="16838" w:h="11906" w:orient="landscape"/>
      <w:pgMar w:top="170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1F8"/>
    <w:rsid w:val="00840ED6"/>
    <w:rsid w:val="00B001F8"/>
    <w:rsid w:val="00B0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1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Carina Di Pace</dc:creator>
  <cp:lastModifiedBy>Sergio Abel Sanclemente</cp:lastModifiedBy>
  <cp:revision>2</cp:revision>
  <dcterms:created xsi:type="dcterms:W3CDTF">2024-07-11T15:46:00Z</dcterms:created>
  <dcterms:modified xsi:type="dcterms:W3CDTF">2024-07-11T15:46:00Z</dcterms:modified>
</cp:coreProperties>
</file>