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062" w:rsidRDefault="0017161A">
      <w:pPr>
        <w:widowControl w:val="0"/>
        <w:spacing w:before="1800" w:after="200" w:line="240" w:lineRule="auto"/>
        <w:ind w:right="19"/>
        <w:rPr>
          <w:rFonts w:ascii="Encode Sans" w:eastAsia="Encode Sans" w:hAnsi="Encode Sans" w:cs="Encode Sans"/>
          <w:color w:val="37BBED"/>
          <w:sz w:val="64"/>
          <w:szCs w:val="64"/>
        </w:rPr>
      </w:pPr>
      <w:r>
        <w:rPr>
          <w:rFonts w:ascii="Encode Sans Condensed Thin" w:eastAsia="Encode Sans Condensed Thin" w:hAnsi="Encode Sans Condensed Thin" w:cs="Encode Sans Condensed Thin"/>
          <w:color w:val="37BBED"/>
          <w:sz w:val="64"/>
          <w:szCs w:val="64"/>
        </w:rPr>
        <w:t xml:space="preserve">Instructivo </w:t>
      </w:r>
      <w:r>
        <w:rPr>
          <w:rFonts w:ascii="Encode Sans Condensed Thin" w:eastAsia="Encode Sans Condensed Thin" w:hAnsi="Encode Sans Condensed Thin" w:cs="Encode Sans Condensed Thin"/>
          <w:color w:val="37BBED"/>
          <w:sz w:val="64"/>
          <w:szCs w:val="64"/>
        </w:rPr>
        <w:br/>
      </w:r>
      <w:r>
        <w:rPr>
          <w:rFonts w:ascii="Encode Sans" w:eastAsia="Encode Sans" w:hAnsi="Encode Sans" w:cs="Encode Sans"/>
          <w:b/>
          <w:color w:val="37BBED"/>
          <w:sz w:val="64"/>
          <w:szCs w:val="64"/>
        </w:rPr>
        <w:t>Certificaciones</w:t>
      </w:r>
      <w:r>
        <w:rPr>
          <w:rFonts w:ascii="Encode Sans" w:eastAsia="Encode Sans" w:hAnsi="Encode Sans" w:cs="Encode Sans"/>
          <w:b/>
          <w:color w:val="37BBED"/>
          <w:sz w:val="64"/>
          <w:szCs w:val="64"/>
        </w:rPr>
        <w:br/>
        <w:t>Etiquetado de Eficiencia Energética para productos eléctricos</w:t>
      </w:r>
    </w:p>
    <w:p w:rsidR="00026062" w:rsidRDefault="0017161A">
      <w:pPr>
        <w:widowControl w:val="0"/>
        <w:spacing w:line="240" w:lineRule="auto"/>
        <w:ind w:right="19"/>
        <w:rPr>
          <w:rFonts w:ascii="Encode Sans" w:eastAsia="Encode Sans" w:hAnsi="Encode Sans" w:cs="Encode Sans"/>
          <w:color w:val="37BBED"/>
          <w:sz w:val="44"/>
          <w:szCs w:val="44"/>
        </w:rPr>
      </w:pPr>
      <w:r>
        <w:rPr>
          <w:rFonts w:ascii="Encode Sans" w:eastAsia="Encode Sans" w:hAnsi="Encode Sans" w:cs="Encode Sans"/>
          <w:color w:val="37BBED"/>
          <w:sz w:val="44"/>
          <w:szCs w:val="44"/>
        </w:rPr>
        <w:t>Resolución ex SCI y M 319/1999</w:t>
      </w:r>
    </w:p>
    <w:p w:rsidR="00026062" w:rsidRDefault="0017161A">
      <w:pPr>
        <w:widowControl w:val="0"/>
        <w:spacing w:line="240" w:lineRule="auto"/>
        <w:ind w:right="19"/>
        <w:rPr>
          <w:rFonts w:ascii="Encode Sans" w:eastAsia="Encode Sans" w:hAnsi="Encode Sans" w:cs="Encode Sans"/>
          <w:color w:val="37BBED"/>
          <w:sz w:val="44"/>
          <w:szCs w:val="44"/>
        </w:rPr>
      </w:pPr>
      <w:r>
        <w:br w:type="page"/>
      </w:r>
    </w:p>
    <w:p w:rsidR="00026062" w:rsidRDefault="0017161A">
      <w:pPr>
        <w:keepNext/>
        <w:keepLines/>
        <w:pBdr>
          <w:top w:val="nil"/>
          <w:left w:val="nil"/>
          <w:bottom w:val="nil"/>
          <w:right w:val="nil"/>
          <w:between w:val="nil"/>
        </w:pBdr>
        <w:spacing w:before="400" w:after="300"/>
        <w:ind w:right="19"/>
        <w:rPr>
          <w:rFonts w:ascii="Encode Sans" w:eastAsia="Encode Sans" w:hAnsi="Encode Sans" w:cs="Encode Sans"/>
          <w:b/>
          <w:color w:val="00B0F0"/>
          <w:sz w:val="32"/>
          <w:szCs w:val="32"/>
        </w:rPr>
      </w:pPr>
      <w:bookmarkStart w:id="0" w:name="_heading=h.buq6c9ws2vlc" w:colFirst="0" w:colLast="0"/>
      <w:bookmarkEnd w:id="0"/>
      <w:r>
        <w:rPr>
          <w:rFonts w:ascii="Encode Sans" w:eastAsia="Encode Sans" w:hAnsi="Encode Sans" w:cs="Encode Sans"/>
          <w:b/>
          <w:color w:val="00B0F0"/>
          <w:sz w:val="32"/>
          <w:szCs w:val="32"/>
        </w:rPr>
        <w:lastRenderedPageBreak/>
        <w:t>Introducción</w:t>
      </w:r>
      <w:bookmarkStart w:id="1" w:name="_GoBack"/>
      <w:bookmarkEnd w:id="1"/>
    </w:p>
    <w:p w:rsidR="00026062" w:rsidRDefault="0017161A">
      <w:pPr>
        <w:widowControl w:val="0"/>
        <w:spacing w:after="300"/>
        <w:ind w:right="5"/>
      </w:pPr>
      <w:r>
        <w:t xml:space="preserve">Si </w:t>
      </w:r>
      <w:proofErr w:type="spellStart"/>
      <w:r>
        <w:t>comercializás</w:t>
      </w:r>
      <w:proofErr w:type="spellEnd"/>
      <w:r>
        <w:t xml:space="preserve"> o </w:t>
      </w:r>
      <w:proofErr w:type="spellStart"/>
      <w:r>
        <w:t>importás</w:t>
      </w:r>
      <w:proofErr w:type="spellEnd"/>
      <w:r>
        <w:t xml:space="preserve"> productos eléctricos, </w:t>
      </w:r>
      <w:proofErr w:type="spellStart"/>
      <w:r>
        <w:t>tenés</w:t>
      </w:r>
      <w:proofErr w:type="spellEnd"/>
      <w:r>
        <w:t xml:space="preserve"> que certificarlos para que sean clasificados de acuerdo a su nivel de eficiencia energética.</w:t>
      </w:r>
    </w:p>
    <w:p w:rsidR="00026062" w:rsidRDefault="0017161A">
      <w:pPr>
        <w:widowControl w:val="0"/>
        <w:spacing w:after="300"/>
        <w:ind w:right="5"/>
      </w:pPr>
      <w:r>
        <w:t>Se entiende por comercialización a cualquier transferencia de bienes, gratuita o a título oneroso, incluyendo las que sean para uso propio.</w:t>
      </w:r>
    </w:p>
    <w:p w:rsidR="00026062" w:rsidRDefault="0017161A">
      <w:pPr>
        <w:keepNext/>
        <w:keepLines/>
        <w:pBdr>
          <w:top w:val="nil"/>
          <w:left w:val="nil"/>
          <w:bottom w:val="nil"/>
          <w:right w:val="nil"/>
          <w:between w:val="nil"/>
        </w:pBdr>
        <w:spacing w:before="600" w:after="300"/>
        <w:ind w:right="19"/>
        <w:rPr>
          <w:rFonts w:ascii="Encode Sans" w:eastAsia="Encode Sans" w:hAnsi="Encode Sans" w:cs="Encode Sans"/>
          <w:b/>
          <w:color w:val="00B0F0"/>
          <w:sz w:val="32"/>
          <w:szCs w:val="32"/>
        </w:rPr>
      </w:pPr>
      <w:bookmarkStart w:id="2" w:name="_heading=h.c0yzvad13i1u" w:colFirst="0" w:colLast="0"/>
      <w:bookmarkEnd w:id="2"/>
      <w:r>
        <w:rPr>
          <w:rFonts w:ascii="Encode Sans" w:eastAsia="Encode Sans" w:hAnsi="Encode Sans" w:cs="Encode Sans"/>
          <w:b/>
          <w:color w:val="00B0F0"/>
          <w:sz w:val="32"/>
          <w:szCs w:val="32"/>
        </w:rPr>
        <w:t>Presentación de certificado</w:t>
      </w:r>
    </w:p>
    <w:p w:rsidR="00026062" w:rsidRDefault="0017161A">
      <w:pPr>
        <w:keepNext/>
        <w:keepLines/>
        <w:widowControl w:val="0"/>
        <w:pBdr>
          <w:top w:val="nil"/>
          <w:left w:val="nil"/>
          <w:bottom w:val="nil"/>
          <w:right w:val="nil"/>
          <w:between w:val="nil"/>
        </w:pBdr>
        <w:spacing w:before="600" w:after="300"/>
        <w:ind w:right="5"/>
        <w:rPr>
          <w:b/>
          <w:color w:val="00B0F0"/>
          <w:sz w:val="30"/>
          <w:szCs w:val="30"/>
        </w:rPr>
      </w:pPr>
      <w:bookmarkStart w:id="3" w:name="_heading=h.qp7hut6lcw51" w:colFirst="0" w:colLast="0"/>
      <w:bookmarkEnd w:id="3"/>
      <w:r>
        <w:rPr>
          <w:b/>
          <w:color w:val="00B0F0"/>
          <w:sz w:val="28"/>
          <w:szCs w:val="28"/>
        </w:rPr>
        <w:t>NORMATIVA DE REFERENCIA</w:t>
      </w:r>
      <w:r>
        <w:rPr>
          <w:b/>
          <w:color w:val="00B0F0"/>
          <w:sz w:val="30"/>
          <w:szCs w:val="30"/>
        </w:rPr>
        <w:t xml:space="preserve"> </w:t>
      </w:r>
    </w:p>
    <w:p w:rsidR="00026062" w:rsidRDefault="0017161A">
      <w:pPr>
        <w:numPr>
          <w:ilvl w:val="0"/>
          <w:numId w:val="1"/>
        </w:numPr>
      </w:pPr>
      <w:r>
        <w:t>Resolución 319/99 ex Secretaría de Industria, Comercio y Minería.</w:t>
      </w:r>
      <w:r>
        <w:br/>
      </w:r>
      <w:hyperlink r:id="rId8">
        <w:r>
          <w:rPr>
            <w:b/>
            <w:color w:val="37BBED"/>
            <w:u w:val="single"/>
          </w:rPr>
          <w:t>http://www.infoleg.gov.ar/infolegInternet/anexos/55000-59999/57667/texact.htm</w:t>
        </w:r>
      </w:hyperlink>
    </w:p>
    <w:p w:rsidR="00026062" w:rsidRDefault="0017161A">
      <w:pPr>
        <w:numPr>
          <w:ilvl w:val="0"/>
          <w:numId w:val="1"/>
        </w:numPr>
      </w:pPr>
      <w:r>
        <w:t>Resolución 35/2005 ex Secretaría de Coordinación Técnica. Heladeras y congeladores.</w:t>
      </w:r>
      <w:r>
        <w:br/>
      </w:r>
      <w:hyperlink r:id="rId9">
        <w:r>
          <w:rPr>
            <w:b/>
            <w:color w:val="37BBED"/>
            <w:u w:val="single"/>
          </w:rPr>
          <w:t>http://www.infoleg.gov.ar/infolegInternet/anexos/100000-104999/104772/texact.htm</w:t>
        </w:r>
      </w:hyperlink>
    </w:p>
    <w:p w:rsidR="00026062" w:rsidRDefault="0017161A">
      <w:pPr>
        <w:numPr>
          <w:ilvl w:val="0"/>
          <w:numId w:val="1"/>
        </w:numPr>
      </w:pPr>
      <w:r>
        <w:t>Disposición 86/2007 ex Dirección Nacional de Comercio Interior. Productos eléctricos de iluminación (Lámparas).</w:t>
      </w:r>
      <w:r>
        <w:br/>
      </w:r>
      <w:hyperlink r:id="rId10">
        <w:r>
          <w:rPr>
            <w:b/>
            <w:color w:val="37BBED"/>
            <w:u w:val="single"/>
          </w:rPr>
          <w:t>http://infoleg.mecon.gov.ar/infolegInternet/anexos/125000-129999/126402/texact.htm</w:t>
        </w:r>
      </w:hyperlink>
    </w:p>
    <w:p w:rsidR="00026062" w:rsidRDefault="0017161A">
      <w:pPr>
        <w:numPr>
          <w:ilvl w:val="0"/>
          <w:numId w:val="1"/>
        </w:numPr>
      </w:pPr>
      <w:r>
        <w:t>Disposición 859/2008 ex Dirección Nacional de Comercio Interior. Aires acondicionados.</w:t>
      </w:r>
      <w:r>
        <w:br/>
      </w:r>
      <w:hyperlink r:id="rId11">
        <w:r>
          <w:rPr>
            <w:b/>
            <w:color w:val="37BBED"/>
            <w:u w:val="single"/>
          </w:rPr>
          <w:t>http://www.infoleg.gov.ar/infolegInternet/anexos/145000-149999/147008/norma.htm</w:t>
        </w:r>
      </w:hyperlink>
    </w:p>
    <w:p w:rsidR="00026062" w:rsidRDefault="0017161A">
      <w:pPr>
        <w:numPr>
          <w:ilvl w:val="0"/>
          <w:numId w:val="1"/>
        </w:numPr>
      </w:pPr>
      <w:r>
        <w:t>Disposición 246/2013 ex Dirección Nacional de Comercio Interior. Balastos.</w:t>
      </w:r>
      <w:r>
        <w:br/>
      </w:r>
      <w:hyperlink r:id="rId12">
        <w:r>
          <w:rPr>
            <w:b/>
            <w:color w:val="37BBED"/>
            <w:u w:val="single"/>
          </w:rPr>
          <w:t>http://www.infoleg.gob.ar/infolegInternet/anexos/220000-224999/220928/norma.htm</w:t>
        </w:r>
      </w:hyperlink>
    </w:p>
    <w:p w:rsidR="00026062" w:rsidRDefault="0017161A">
      <w:pPr>
        <w:numPr>
          <w:ilvl w:val="0"/>
          <w:numId w:val="1"/>
        </w:numPr>
      </w:pPr>
      <w:r>
        <w:t>Disposición 761/2010 ex Dirección Nacional de Comercio Interior. Productos eléctricos de lavado, secado de ropa y funciones combinadas.</w:t>
      </w:r>
      <w:r>
        <w:br/>
      </w:r>
      <w:hyperlink r:id="rId13">
        <w:r>
          <w:rPr>
            <w:b/>
            <w:color w:val="37BBED"/>
            <w:u w:val="single"/>
          </w:rPr>
          <w:t>http://www.infoleg.gov.ar/infolegInternet/anexos/175000-179999/175674/norma.htm</w:t>
        </w:r>
      </w:hyperlink>
    </w:p>
    <w:p w:rsidR="00026062" w:rsidRDefault="0017161A">
      <w:pPr>
        <w:numPr>
          <w:ilvl w:val="0"/>
          <w:numId w:val="1"/>
        </w:numPr>
      </w:pPr>
      <w:r>
        <w:lastRenderedPageBreak/>
        <w:t>Disposición 219/2015 ex Dirección Nacional de Comercio Interior. Televisores.</w:t>
      </w:r>
      <w:r>
        <w:br/>
      </w:r>
      <w:hyperlink r:id="rId14">
        <w:r>
          <w:rPr>
            <w:b/>
            <w:color w:val="37BBED"/>
            <w:u w:val="single"/>
          </w:rPr>
          <w:t>http://servicios.infoleg.gob.ar/infolegInternet/anexos/250000-254999/251748/norma.htm</w:t>
        </w:r>
      </w:hyperlink>
    </w:p>
    <w:p w:rsidR="00026062" w:rsidRDefault="0017161A">
      <w:pPr>
        <w:numPr>
          <w:ilvl w:val="0"/>
          <w:numId w:val="1"/>
        </w:numPr>
      </w:pPr>
      <w:r>
        <w:t>Disposición 230/2015 ex Dirección Nacional de Comercio Interior. Motores eléctricos.</w:t>
      </w:r>
      <w:r>
        <w:br/>
      </w:r>
      <w:hyperlink r:id="rId15">
        <w:r>
          <w:rPr>
            <w:b/>
            <w:color w:val="37BBED"/>
            <w:u w:val="single"/>
          </w:rPr>
          <w:t>http://servicios.infoleg.gob.ar/infolegInternet/anexos/250000-254999/251749/norma.htm</w:t>
        </w:r>
      </w:hyperlink>
    </w:p>
    <w:p w:rsidR="00026062" w:rsidRDefault="0017161A">
      <w:pPr>
        <w:numPr>
          <w:ilvl w:val="0"/>
          <w:numId w:val="1"/>
        </w:numPr>
      </w:pPr>
      <w:bookmarkStart w:id="4" w:name="_heading=h.gjdgxs" w:colFirst="0" w:colLast="0"/>
      <w:bookmarkEnd w:id="4"/>
      <w:r>
        <w:t>Disposición 172/2016 ex Dirección Nacional de Comercio Interior. Calentadores de agua de accionamiento eléctrico.</w:t>
      </w:r>
      <w:r>
        <w:br/>
      </w:r>
      <w:hyperlink r:id="rId16">
        <w:r>
          <w:rPr>
            <w:b/>
            <w:color w:val="37BBED"/>
            <w:u w:val="single"/>
          </w:rPr>
          <w:t>http://servicios.infoleg.gob.ar/infolegInternet/anexos/265000-269999/267379/norma.htm</w:t>
        </w:r>
      </w:hyperlink>
    </w:p>
    <w:p w:rsidR="00026062" w:rsidRDefault="0017161A">
      <w:pPr>
        <w:numPr>
          <w:ilvl w:val="0"/>
          <w:numId w:val="1"/>
        </w:numPr>
      </w:pPr>
      <w:r>
        <w:t>Resolución 800/2019 Secretaria de Comercio Interior:  Electrobombas</w:t>
      </w:r>
      <w:r>
        <w:br/>
      </w:r>
      <w:hyperlink r:id="rId17">
        <w:r>
          <w:rPr>
            <w:b/>
            <w:color w:val="37BBED"/>
            <w:u w:val="single"/>
          </w:rPr>
          <w:t>http://servicios.infoleg.gob.ar/infolegInternet/anexos/330000-334999/332692/norma.htm</w:t>
        </w:r>
      </w:hyperlink>
    </w:p>
    <w:p w:rsidR="00026062" w:rsidRDefault="0017161A">
      <w:pPr>
        <w:ind w:left="720"/>
      </w:pPr>
      <w:r>
        <w:t>Disposición 170/16 ex Dirección Nacional de Comercio Interior.</w:t>
      </w:r>
      <w:r>
        <w:br/>
      </w:r>
      <w:hyperlink r:id="rId18">
        <w:r>
          <w:rPr>
            <w:b/>
            <w:color w:val="37BBED"/>
            <w:u w:val="single"/>
          </w:rPr>
          <w:t>http://servicios.infoleg.gob.ar/infolegInternet/anexos/265000-269999/267555/norma.htm</w:t>
        </w:r>
      </w:hyperlink>
    </w:p>
    <w:p w:rsidR="00026062" w:rsidRDefault="0017161A">
      <w:pPr>
        <w:numPr>
          <w:ilvl w:val="0"/>
          <w:numId w:val="1"/>
        </w:numPr>
      </w:pPr>
      <w:r>
        <w:t>Resolución 834/2019 Secretaría de Comercio Interior. Lavavajillas</w:t>
      </w:r>
      <w:r>
        <w:br/>
      </w:r>
      <w:hyperlink r:id="rId19">
        <w:r>
          <w:rPr>
            <w:b/>
            <w:color w:val="37BBED"/>
            <w:u w:val="single"/>
          </w:rPr>
          <w:t>http://servicios.infoleg.gob.ar/infolegInternet/anexos/330000-334999/333282/texact.htm</w:t>
        </w:r>
      </w:hyperlink>
      <w:r>
        <w:t xml:space="preserve">.  </w:t>
      </w:r>
    </w:p>
    <w:p w:rsidR="00026062" w:rsidRDefault="0017161A">
      <w:pPr>
        <w:ind w:left="720"/>
      </w:pPr>
      <w:r>
        <w:t>Resolución 422/2020 Secretaria de Comercio Interior.</w:t>
      </w:r>
      <w:hyperlink r:id="rId20">
        <w:r>
          <w:rPr>
            <w:b/>
            <w:color w:val="37BBED"/>
            <w:u w:val="single"/>
          </w:rPr>
          <w:t>http://servicios.infoleg.gob.ar/infolegInternet/anexos/340000-344999/342816/norma.htm</w:t>
        </w:r>
      </w:hyperlink>
    </w:p>
    <w:p w:rsidR="00026062" w:rsidRDefault="0017161A">
      <w:pPr>
        <w:numPr>
          <w:ilvl w:val="0"/>
          <w:numId w:val="1"/>
        </w:numPr>
      </w:pPr>
      <w:r>
        <w:t>Resolución 795/2019 Secretaría de Comercio Interior. Lámparas Led</w:t>
      </w:r>
      <w:r>
        <w:br/>
      </w:r>
      <w:hyperlink r:id="rId21">
        <w:r>
          <w:rPr>
            <w:b/>
            <w:color w:val="37BBED"/>
            <w:u w:val="single"/>
          </w:rPr>
          <w:t xml:space="preserve">http://servicios.infoleg.gob.ar/infolegInternet/anexos/330000-334999/332610/texact.htm  </w:t>
        </w:r>
      </w:hyperlink>
    </w:p>
    <w:p w:rsidR="00026062" w:rsidRPr="000C2BED" w:rsidRDefault="0017161A" w:rsidP="000C2BED">
      <w:pPr>
        <w:pStyle w:val="Prrafodelista"/>
        <w:numPr>
          <w:ilvl w:val="0"/>
          <w:numId w:val="1"/>
        </w:numPr>
      </w:pPr>
      <w:r>
        <w:t>Resolución 58</w:t>
      </w:r>
      <w:r w:rsidR="000C2BED">
        <w:t>6</w:t>
      </w:r>
      <w:r>
        <w:t>/2020 Secretaria de Comercio Interior</w:t>
      </w:r>
      <w:r>
        <w:br/>
      </w:r>
      <w:hyperlink r:id="rId22">
        <w:r w:rsidRPr="000C2BED">
          <w:rPr>
            <w:b/>
            <w:color w:val="37BBED"/>
            <w:u w:val="single"/>
          </w:rPr>
          <w:t>http://servicios.infoleg.gob.ar/infolegInternet/anexos/340000-344999/344366/norma.htm</w:t>
        </w:r>
      </w:hyperlink>
    </w:p>
    <w:p w:rsidR="000C2BED" w:rsidRDefault="000C2BED" w:rsidP="000C2BED">
      <w:pPr>
        <w:pStyle w:val="Prrafodelista"/>
        <w:numPr>
          <w:ilvl w:val="0"/>
          <w:numId w:val="1"/>
        </w:numPr>
      </w:pPr>
      <w:r>
        <w:t>Resolución 1017/2021 Secretaria de Comercio Interior</w:t>
      </w:r>
      <w:r>
        <w:br/>
      </w:r>
      <w:hyperlink r:id="rId23" w:history="1">
        <w:r w:rsidRPr="000C2BED">
          <w:rPr>
            <w:b/>
            <w:color w:val="37BBED"/>
          </w:rPr>
          <w:t>http://servicios.infoleg.gob.ar/infolegInternet/anexos/350000-354999/354939/norma.htm</w:t>
        </w:r>
      </w:hyperlink>
    </w:p>
    <w:p w:rsidR="00026062" w:rsidRDefault="0017161A">
      <w:pPr>
        <w:keepNext/>
        <w:keepLines/>
        <w:widowControl w:val="0"/>
        <w:pBdr>
          <w:top w:val="nil"/>
          <w:left w:val="nil"/>
          <w:bottom w:val="nil"/>
          <w:right w:val="nil"/>
          <w:between w:val="nil"/>
        </w:pBdr>
        <w:spacing w:before="600" w:after="300"/>
        <w:ind w:right="940"/>
        <w:rPr>
          <w:b/>
          <w:color w:val="00B0F0"/>
          <w:sz w:val="19"/>
          <w:szCs w:val="19"/>
        </w:rPr>
      </w:pPr>
      <w:bookmarkStart w:id="5" w:name="_heading=h.4lnwfzgnl0v0" w:colFirst="0" w:colLast="0"/>
      <w:bookmarkEnd w:id="5"/>
      <w:r>
        <w:rPr>
          <w:b/>
          <w:color w:val="00B0F0"/>
          <w:sz w:val="26"/>
          <w:szCs w:val="26"/>
        </w:rPr>
        <w:t>PROCEDIMIENTO</w:t>
      </w:r>
      <w:r>
        <w:rPr>
          <w:b/>
          <w:color w:val="00B0F0"/>
          <w:sz w:val="19"/>
          <w:szCs w:val="19"/>
        </w:rPr>
        <w:t xml:space="preserve"> </w:t>
      </w:r>
    </w:p>
    <w:p w:rsidR="00026062" w:rsidRDefault="0017161A">
      <w:pPr>
        <w:spacing w:after="300"/>
      </w:pPr>
      <w:r>
        <w:t xml:space="preserve">Para certificar tus productos </w:t>
      </w:r>
      <w:proofErr w:type="spellStart"/>
      <w:r>
        <w:t>tenés</w:t>
      </w:r>
      <w:proofErr w:type="spellEnd"/>
      <w:r>
        <w:t xml:space="preserve"> que contactarte con un organismo de certificación reconocido por la autoridad de aplicación, el cual es el responsable de llevar a cabo el proceso. </w:t>
      </w:r>
      <w:r>
        <w:lastRenderedPageBreak/>
        <w:t>Este organismo delega el desarrollo de los ensayos pertinentes a un laboratorio también reconocido por la autoridad de aplicación. Luego de que los ensayos se realicen de forma satisfactoria, el organismo emite el certificado correspondiente.</w:t>
      </w:r>
    </w:p>
    <w:p w:rsidR="00026062" w:rsidRDefault="0017161A">
      <w:pPr>
        <w:keepNext/>
        <w:keepLines/>
        <w:pBdr>
          <w:top w:val="nil"/>
          <w:left w:val="nil"/>
          <w:bottom w:val="nil"/>
          <w:right w:val="nil"/>
          <w:between w:val="nil"/>
        </w:pBdr>
        <w:spacing w:before="400" w:after="300"/>
        <w:ind w:right="772"/>
        <w:rPr>
          <w:b/>
          <w:color w:val="000000"/>
          <w:sz w:val="24"/>
          <w:szCs w:val="24"/>
        </w:rPr>
      </w:pPr>
      <w:bookmarkStart w:id="6" w:name="_heading=h.p50tdgmu9745" w:colFirst="0" w:colLast="0"/>
      <w:bookmarkEnd w:id="6"/>
      <w:r>
        <w:rPr>
          <w:b/>
          <w:color w:val="000000"/>
          <w:sz w:val="24"/>
          <w:szCs w:val="24"/>
        </w:rPr>
        <w:t>Etapa 1 - Certificación</w:t>
      </w:r>
    </w:p>
    <w:p w:rsidR="00026062" w:rsidRDefault="0017161A">
      <w:r>
        <w:t>El organismo de certificación determina la familia de productos y el tamaño de muestra representativo, el cual es entregado a un laboratorio reconocido para que desarrolle los ensayos correspondientes.</w:t>
      </w:r>
    </w:p>
    <w:p w:rsidR="00026062" w:rsidRDefault="0017161A">
      <w:pPr>
        <w:pBdr>
          <w:top w:val="nil"/>
          <w:left w:val="nil"/>
          <w:bottom w:val="nil"/>
          <w:right w:val="nil"/>
          <w:between w:val="nil"/>
        </w:pBdr>
        <w:spacing w:after="200"/>
        <w:rPr>
          <w:color w:val="000000"/>
        </w:rPr>
      </w:pPr>
      <w:r>
        <w:t xml:space="preserve">Para los productos importados por primera vez, el organismo de certificación solicitará que dicha muestra se retire de la Aduana en condición “Sin Derecho a Uso” (SDU), lo que permite ingresarla al país. Para ello </w:t>
      </w:r>
      <w:proofErr w:type="spellStart"/>
      <w:r>
        <w:t>realizá</w:t>
      </w:r>
      <w:proofErr w:type="spellEnd"/>
      <w:r>
        <w:t xml:space="preserve"> el trámite </w:t>
      </w:r>
      <w:hyperlink r:id="rId24">
        <w:r>
          <w:rPr>
            <w:b/>
            <w:color w:val="37BBED"/>
            <w:u w:val="single"/>
          </w:rPr>
          <w:t>“Certificaciones (no eléctricas) - Nota de Apertura Sin Derecho a Uso” vía TAD</w:t>
        </w:r>
      </w:hyperlink>
      <w:r>
        <w:rPr>
          <w:color w:val="000000"/>
        </w:rPr>
        <w:t xml:space="preserve"> el cual consiste en la presentación de una declaración jurada, junto con el listado de los productos involucrados en el trámite y de una nota del organismo de certificación interviniente, la cual debe contener el c</w:t>
      </w:r>
      <w:r>
        <w:t>ronograma de ensayos a realizar</w:t>
      </w:r>
      <w:r>
        <w:rPr>
          <w:color w:val="000000"/>
        </w:rPr>
        <w:t>. Una vez realizado el procedimiento se emitirá la notificación del expediente Apertura SDU, que se debe presentar ante Aduana para realizar el ingreso de la muestra al país.</w:t>
      </w:r>
    </w:p>
    <w:p w:rsidR="00026062" w:rsidRDefault="0017161A">
      <w:r>
        <w:t>Una vez superados satisfactoriamente los ensayos, el organismo de certificación emitirá el certificado correspondiente.</w:t>
      </w:r>
    </w:p>
    <w:p w:rsidR="00026062" w:rsidRDefault="0017161A">
      <w:pPr>
        <w:keepNext/>
        <w:keepLines/>
        <w:widowControl w:val="0"/>
        <w:pBdr>
          <w:top w:val="nil"/>
          <w:left w:val="nil"/>
          <w:bottom w:val="nil"/>
          <w:right w:val="nil"/>
          <w:between w:val="nil"/>
        </w:pBdr>
        <w:spacing w:before="400" w:after="300"/>
        <w:ind w:right="4"/>
        <w:rPr>
          <w:b/>
          <w:color w:val="000000"/>
          <w:sz w:val="24"/>
          <w:szCs w:val="24"/>
        </w:rPr>
      </w:pPr>
      <w:bookmarkStart w:id="7" w:name="_heading=h.63dmvscw4zh" w:colFirst="0" w:colLast="0"/>
      <w:bookmarkEnd w:id="7"/>
      <w:r>
        <w:rPr>
          <w:b/>
          <w:color w:val="000000"/>
          <w:sz w:val="24"/>
          <w:szCs w:val="24"/>
        </w:rPr>
        <w:t>Etapa 2 - Presentación de Certificado</w:t>
      </w:r>
    </w:p>
    <w:p w:rsidR="00026062" w:rsidRDefault="0017161A">
      <w:pPr>
        <w:pBdr>
          <w:top w:val="nil"/>
          <w:left w:val="nil"/>
          <w:bottom w:val="nil"/>
          <w:right w:val="nil"/>
          <w:between w:val="nil"/>
        </w:pBdr>
        <w:spacing w:after="200"/>
        <w:rPr>
          <w:color w:val="000000"/>
        </w:rPr>
      </w:pPr>
      <w:r>
        <w:rPr>
          <w:color w:val="000000"/>
        </w:rPr>
        <w:t xml:space="preserve">Una vez emitido el Certificado de conformidad obtenido en la etapa anterior </w:t>
      </w:r>
      <w:proofErr w:type="spellStart"/>
      <w:r>
        <w:rPr>
          <w:color w:val="000000"/>
        </w:rPr>
        <w:t>inici</w:t>
      </w:r>
      <w:r>
        <w:t>á</w:t>
      </w:r>
      <w:proofErr w:type="spellEnd"/>
      <w:r>
        <w:rPr>
          <w:color w:val="000000"/>
        </w:rPr>
        <w:t xml:space="preserve"> el trámite de presentación del mismo ante la autoridad competente. El mismo se realiza por medio del trámite </w:t>
      </w:r>
      <w:hyperlink r:id="rId25">
        <w:r>
          <w:rPr>
            <w:b/>
            <w:color w:val="37BBED"/>
            <w:u w:val="single"/>
          </w:rPr>
          <w:t>“Certificaciones de Reglamentos Técnicos” en la plataforma TAD</w:t>
        </w:r>
      </w:hyperlink>
      <w:r>
        <w:rPr>
          <w:color w:val="000000"/>
        </w:rPr>
        <w:t xml:space="preserve">. </w:t>
      </w:r>
    </w:p>
    <w:p w:rsidR="00026062" w:rsidRDefault="0017161A">
      <w:pPr>
        <w:spacing w:after="200"/>
      </w:pPr>
      <w:r>
        <w:t>En el apartado “</w:t>
      </w:r>
      <w:r>
        <w:rPr>
          <w:b/>
        </w:rPr>
        <w:t>Datos del Trámite</w:t>
      </w:r>
      <w:r>
        <w:t xml:space="preserve">” </w:t>
      </w:r>
      <w:proofErr w:type="spellStart"/>
      <w:r>
        <w:t>seleccioná</w:t>
      </w:r>
      <w:proofErr w:type="spellEnd"/>
      <w:r>
        <w:t xml:space="preserve"> la opción correspondiente, según el producto certificado, dentro del listado “</w:t>
      </w:r>
      <w:r>
        <w:rPr>
          <w:b/>
        </w:rPr>
        <w:t>Eficiencia energética</w:t>
      </w:r>
      <w:r>
        <w:t>”.</w:t>
      </w:r>
    </w:p>
    <w:p w:rsidR="00026062" w:rsidRDefault="0017161A">
      <w:pPr>
        <w:spacing w:after="300"/>
      </w:pPr>
      <w:r>
        <w:t>En este trámite se solicita:</w:t>
      </w:r>
    </w:p>
    <w:p w:rsidR="00026062" w:rsidRDefault="0017161A">
      <w:pPr>
        <w:numPr>
          <w:ilvl w:val="0"/>
          <w:numId w:val="4"/>
        </w:numPr>
      </w:pPr>
      <w:r>
        <w:t>Formulario de presentación de certificado (Nota de permiso de venta), en carácter de declaración jurada, indicando el reglamento técnico específico según producto.</w:t>
      </w:r>
    </w:p>
    <w:p w:rsidR="00026062" w:rsidRDefault="0017161A">
      <w:pPr>
        <w:numPr>
          <w:ilvl w:val="0"/>
          <w:numId w:val="4"/>
        </w:numPr>
      </w:pPr>
      <w:r>
        <w:t>Certificado emitido por el Organismo de Certificación.</w:t>
      </w:r>
    </w:p>
    <w:p w:rsidR="00026062" w:rsidRDefault="0017161A">
      <w:pPr>
        <w:numPr>
          <w:ilvl w:val="0"/>
          <w:numId w:val="4"/>
        </w:numPr>
      </w:pPr>
      <w:r>
        <w:t>Constancia de inscripción al RUMP (Registro Único de la Matriz Productiva) actualizada.</w:t>
      </w:r>
    </w:p>
    <w:p w:rsidR="00026062" w:rsidRDefault="0017161A">
      <w:pPr>
        <w:numPr>
          <w:ilvl w:val="0"/>
          <w:numId w:val="4"/>
        </w:numPr>
        <w:spacing w:after="400"/>
      </w:pPr>
      <w:r>
        <w:t>Copia del formulario de apertura SDU y su correspondiente nota de aprobación, en caso de corresponder.</w:t>
      </w:r>
    </w:p>
    <w:p w:rsidR="00026062" w:rsidRDefault="0017161A">
      <w:pPr>
        <w:pBdr>
          <w:top w:val="nil"/>
          <w:left w:val="nil"/>
          <w:bottom w:val="nil"/>
          <w:right w:val="nil"/>
          <w:between w:val="nil"/>
        </w:pBdr>
        <w:spacing w:after="0"/>
        <w:rPr>
          <w:color w:val="000000"/>
        </w:rPr>
      </w:pPr>
      <w:r>
        <w:rPr>
          <w:b/>
          <w:color w:val="37BBED"/>
        </w:rPr>
        <w:lastRenderedPageBreak/>
        <w:t>Nota:</w:t>
      </w:r>
      <w:r>
        <w:rPr>
          <w:color w:val="000000"/>
        </w:rPr>
        <w:t xml:space="preserve"> En caso de que el certificado sea cedido o extendido, </w:t>
      </w:r>
      <w:proofErr w:type="spellStart"/>
      <w:r>
        <w:rPr>
          <w:color w:val="000000"/>
        </w:rPr>
        <w:t>deb</w:t>
      </w:r>
      <w:r>
        <w:t>és</w:t>
      </w:r>
      <w:proofErr w:type="spellEnd"/>
      <w:r>
        <w:rPr>
          <w:color w:val="000000"/>
        </w:rPr>
        <w:t xml:space="preserve"> presentar una nota que compruebe la cesión/extensión entre partes, una nota del organismo certificador indicando que ha sido notificado de dicha cesión/extensión y una copia de la notificación de la presentación del certificado realizada por el titular del certificado original (Proveído de aceptación).</w:t>
      </w:r>
    </w:p>
    <w:p w:rsidR="00026062" w:rsidRDefault="0017161A">
      <w:pPr>
        <w:spacing w:after="400"/>
      </w:pPr>
      <w:r>
        <w:t xml:space="preserve">Además, </w:t>
      </w:r>
      <w:proofErr w:type="spellStart"/>
      <w:r>
        <w:t>debés</w:t>
      </w:r>
      <w:proofErr w:type="spellEnd"/>
      <w:r>
        <w:t xml:space="preserve"> indicar en el apartado "</w:t>
      </w:r>
      <w:proofErr w:type="spellStart"/>
      <w:r>
        <w:t>N°</w:t>
      </w:r>
      <w:proofErr w:type="spellEnd"/>
      <w:r>
        <w:t xml:space="preserve"> de expediente original" del formulario de presentación de certificado el </w:t>
      </w:r>
      <w:proofErr w:type="spellStart"/>
      <w:r>
        <w:t>N°</w:t>
      </w:r>
      <w:proofErr w:type="spellEnd"/>
      <w:r>
        <w:t xml:space="preserve"> de expediente por medio del cual el titular del certificado original realizó la presentación del mismo ante la autoridad de aplicación.</w:t>
      </w:r>
    </w:p>
    <w:p w:rsidR="00026062" w:rsidRDefault="0017161A">
      <w:pPr>
        <w:keepNext/>
        <w:keepLines/>
        <w:widowControl w:val="0"/>
        <w:pBdr>
          <w:top w:val="nil"/>
          <w:left w:val="nil"/>
          <w:bottom w:val="nil"/>
          <w:right w:val="nil"/>
          <w:between w:val="nil"/>
        </w:pBdr>
        <w:spacing w:before="72" w:after="300"/>
        <w:ind w:right="4"/>
        <w:rPr>
          <w:b/>
          <w:color w:val="000000"/>
          <w:sz w:val="24"/>
          <w:szCs w:val="24"/>
        </w:rPr>
      </w:pPr>
      <w:bookmarkStart w:id="8" w:name="_heading=h.8xp9dptdn3m4" w:colFirst="0" w:colLast="0"/>
      <w:bookmarkEnd w:id="8"/>
      <w:r>
        <w:rPr>
          <w:b/>
          <w:color w:val="000000"/>
          <w:sz w:val="24"/>
          <w:szCs w:val="24"/>
        </w:rPr>
        <w:t>Etapa 3 - Renovaciones</w:t>
      </w:r>
    </w:p>
    <w:p w:rsidR="00026062" w:rsidRDefault="0017161A">
      <w:r>
        <w:t>Los certificados tienen un plazo de vigencia, el cual puede renovarse mediante la realización de una vigilancia por parte del organismo de certificación correspondiente. Esta vigilancia también puede realizarse en caso de querer realizar actualizaciones o modificaciones sobre el certificado original.</w:t>
      </w:r>
    </w:p>
    <w:p w:rsidR="00026062" w:rsidRDefault="0017161A">
      <w:r>
        <w:t xml:space="preserve">Una vez realizada la vigilancia, </w:t>
      </w:r>
      <w:proofErr w:type="spellStart"/>
      <w:r>
        <w:t>realizá</w:t>
      </w:r>
      <w:proofErr w:type="spellEnd"/>
      <w:r>
        <w:t xml:space="preserve"> una nueva presentación de certificado por medio del trámite </w:t>
      </w:r>
      <w:hyperlink r:id="rId26">
        <w:r>
          <w:rPr>
            <w:b/>
            <w:color w:val="37BBED"/>
            <w:u w:val="single"/>
          </w:rPr>
          <w:t>“Certificaciones de Reglamentos Técnicos” en la plataforma TAD</w:t>
        </w:r>
      </w:hyperlink>
      <w:r>
        <w:t>.</w:t>
      </w:r>
    </w:p>
    <w:p w:rsidR="00026062" w:rsidRDefault="0017161A">
      <w:r>
        <w:t>En el apartado “</w:t>
      </w:r>
      <w:r>
        <w:rPr>
          <w:b/>
        </w:rPr>
        <w:t>Datos del Trámite</w:t>
      </w:r>
      <w:r>
        <w:t xml:space="preserve">” </w:t>
      </w:r>
      <w:proofErr w:type="spellStart"/>
      <w:r>
        <w:t>seleccioná</w:t>
      </w:r>
      <w:proofErr w:type="spellEnd"/>
      <w:r>
        <w:t xml:space="preserve"> la opción correspondiente, según el producto certificado, dentro del listado “</w:t>
      </w:r>
      <w:r>
        <w:rPr>
          <w:b/>
        </w:rPr>
        <w:t>Eficiencia energética</w:t>
      </w:r>
      <w:r>
        <w:t>”.</w:t>
      </w:r>
    </w:p>
    <w:p w:rsidR="00026062" w:rsidRDefault="0017161A">
      <w:r>
        <w:t>En este trámite se solicita, además de la información solicitada en la etapa 2:</w:t>
      </w:r>
    </w:p>
    <w:p w:rsidR="00026062" w:rsidRDefault="0017161A">
      <w:pPr>
        <w:numPr>
          <w:ilvl w:val="0"/>
          <w:numId w:val="3"/>
        </w:numPr>
        <w:spacing w:after="300"/>
      </w:pPr>
      <w:r>
        <w:t>Copia del último formulario de presentación de certificado presentado.</w:t>
      </w:r>
    </w:p>
    <w:p w:rsidR="00026062" w:rsidRDefault="0017161A">
      <w:pPr>
        <w:numPr>
          <w:ilvl w:val="0"/>
          <w:numId w:val="3"/>
        </w:numPr>
        <w:spacing w:after="300"/>
      </w:pPr>
      <w:r>
        <w:t>Copia de la notificación de la presentación de certificado anterior (Nota de aceptación).</w:t>
      </w:r>
    </w:p>
    <w:p w:rsidR="00026062" w:rsidRDefault="0017161A">
      <w:pPr>
        <w:numPr>
          <w:ilvl w:val="0"/>
          <w:numId w:val="3"/>
        </w:numPr>
        <w:spacing w:after="300"/>
      </w:pPr>
      <w:r>
        <w:t>Nota de vigilancia otorgada por el Organismo de Certificación que certifique la vigencia de la certificación original del producto.</w:t>
      </w:r>
    </w:p>
    <w:p w:rsidR="00026062" w:rsidRDefault="0017161A">
      <w:pPr>
        <w:numPr>
          <w:ilvl w:val="0"/>
          <w:numId w:val="3"/>
        </w:numPr>
        <w:spacing w:after="300"/>
      </w:pPr>
      <w:r>
        <w:t>Nota emitida por el Organismo de Certificación indicando los cambios realizados al certificado de conformidad, en caso de tratarse de la presentación de una revisión o modificación del certificado.</w:t>
      </w:r>
    </w:p>
    <w:p w:rsidR="00026062" w:rsidRDefault="0017161A">
      <w:r>
        <w:t xml:space="preserve">Además, </w:t>
      </w:r>
      <w:proofErr w:type="spellStart"/>
      <w:r>
        <w:t>indicá</w:t>
      </w:r>
      <w:proofErr w:type="spellEnd"/>
      <w:r>
        <w:t xml:space="preserve"> en el apartado "</w:t>
      </w:r>
      <w:proofErr w:type="spellStart"/>
      <w:r>
        <w:t>N°</w:t>
      </w:r>
      <w:proofErr w:type="spellEnd"/>
      <w:r>
        <w:t xml:space="preserve"> de expediente original" del formulario de presentación de certificado el </w:t>
      </w:r>
      <w:proofErr w:type="spellStart"/>
      <w:r>
        <w:t>N°</w:t>
      </w:r>
      <w:proofErr w:type="spellEnd"/>
      <w:r>
        <w:t xml:space="preserve"> de expediente por medio del cual se presentó el certificado original ante la autoridad de aplicación.</w:t>
      </w:r>
    </w:p>
    <w:p w:rsidR="00026062" w:rsidRDefault="0017161A">
      <w:pPr>
        <w:keepNext/>
        <w:keepLines/>
        <w:widowControl w:val="0"/>
        <w:pBdr>
          <w:top w:val="nil"/>
          <w:left w:val="nil"/>
          <w:bottom w:val="nil"/>
          <w:right w:val="nil"/>
          <w:between w:val="nil"/>
        </w:pBdr>
        <w:spacing w:before="600" w:after="300"/>
        <w:ind w:right="1041"/>
        <w:rPr>
          <w:b/>
        </w:rPr>
      </w:pPr>
      <w:bookmarkStart w:id="9" w:name="_heading=h.kguzkgs2dzmm" w:colFirst="0" w:colLast="0"/>
      <w:bookmarkEnd w:id="9"/>
      <w:r>
        <w:rPr>
          <w:rFonts w:ascii="Encode Sans" w:eastAsia="Encode Sans" w:hAnsi="Encode Sans" w:cs="Encode Sans"/>
          <w:b/>
          <w:color w:val="00B0F0"/>
          <w:sz w:val="32"/>
          <w:szCs w:val="32"/>
        </w:rPr>
        <w:lastRenderedPageBreak/>
        <w:t>Constancia de inicio</w:t>
      </w:r>
    </w:p>
    <w:p w:rsidR="00026062" w:rsidRDefault="0017161A">
      <w:pPr>
        <w:keepNext/>
        <w:keepLines/>
        <w:widowControl w:val="0"/>
        <w:pBdr>
          <w:top w:val="nil"/>
          <w:left w:val="nil"/>
          <w:bottom w:val="nil"/>
          <w:right w:val="nil"/>
          <w:between w:val="nil"/>
        </w:pBdr>
        <w:spacing w:before="600" w:after="300"/>
        <w:ind w:right="940"/>
        <w:rPr>
          <w:b/>
          <w:color w:val="00B0F0"/>
          <w:sz w:val="28"/>
          <w:szCs w:val="28"/>
        </w:rPr>
      </w:pPr>
      <w:bookmarkStart w:id="10" w:name="_heading=h.b9i5y8uelxtt" w:colFirst="0" w:colLast="0"/>
      <w:bookmarkEnd w:id="10"/>
      <w:r>
        <w:rPr>
          <w:b/>
          <w:color w:val="00B0F0"/>
          <w:sz w:val="28"/>
          <w:szCs w:val="28"/>
        </w:rPr>
        <w:t xml:space="preserve">OBJETO </w:t>
      </w:r>
    </w:p>
    <w:p w:rsidR="00026062" w:rsidRDefault="0017161A">
      <w:pPr>
        <w:spacing w:after="0"/>
        <w:ind w:right="63"/>
      </w:pPr>
      <w:r>
        <w:t>Es la etapa de implementación de un reglamento técnico previa a la etapa final de certificación. Cuando un reglamento técnico se encuentre en esta etapa, una vez acordado el proceso de certificación con el organismo certificador y habiéndose establecido un cronograma de ensayos por parte del laboratorio autorizado, la autoridad de aplicación dará por cumplidos los requisitos establecidos por la normativa por medio de la presentación de una nota de constancia de inicio, en carácter de declaración jurada.</w:t>
      </w:r>
    </w:p>
    <w:p w:rsidR="00026062" w:rsidRDefault="0017161A">
      <w:pPr>
        <w:keepNext/>
        <w:keepLines/>
        <w:widowControl w:val="0"/>
        <w:pBdr>
          <w:top w:val="nil"/>
          <w:left w:val="nil"/>
          <w:bottom w:val="nil"/>
          <w:right w:val="nil"/>
          <w:between w:val="nil"/>
        </w:pBdr>
        <w:spacing w:before="600" w:after="300"/>
        <w:ind w:right="489"/>
        <w:rPr>
          <w:b/>
          <w:color w:val="00B0F0"/>
          <w:sz w:val="28"/>
          <w:szCs w:val="28"/>
        </w:rPr>
      </w:pPr>
      <w:bookmarkStart w:id="11" w:name="_heading=h.m3kxn0p9086y" w:colFirst="0" w:colLast="0"/>
      <w:bookmarkEnd w:id="11"/>
      <w:r>
        <w:rPr>
          <w:b/>
          <w:color w:val="00B0F0"/>
          <w:sz w:val="28"/>
          <w:szCs w:val="28"/>
        </w:rPr>
        <w:t>PROCEDIMIENTO</w:t>
      </w:r>
    </w:p>
    <w:p w:rsidR="00026062" w:rsidRDefault="0017161A">
      <w:proofErr w:type="spellStart"/>
      <w:r>
        <w:t>Realizá</w:t>
      </w:r>
      <w:proofErr w:type="spellEnd"/>
      <w:r>
        <w:t xml:space="preserve"> la presentación de la documentación por medio del trámite </w:t>
      </w:r>
      <w:hyperlink r:id="rId27">
        <w:r>
          <w:rPr>
            <w:b/>
            <w:color w:val="37BBED"/>
            <w:u w:val="single"/>
          </w:rPr>
          <w:t>“Constancia de Inicio de  Reglamentos Técnicos” en la plataforma TAD</w:t>
        </w:r>
      </w:hyperlink>
      <w:r>
        <w:t xml:space="preserve">. </w:t>
      </w:r>
    </w:p>
    <w:p w:rsidR="00026062" w:rsidRDefault="0017161A">
      <w:pPr>
        <w:spacing w:after="300"/>
        <w:rPr>
          <w:b/>
        </w:rPr>
      </w:pPr>
      <w:r>
        <w:t xml:space="preserve">En el apartado </w:t>
      </w:r>
      <w:r>
        <w:rPr>
          <w:b/>
        </w:rPr>
        <w:t>“Datos del Trámite”</w:t>
      </w:r>
      <w:r>
        <w:t xml:space="preserve"> </w:t>
      </w:r>
      <w:proofErr w:type="spellStart"/>
      <w:r>
        <w:t>seleccioná</w:t>
      </w:r>
      <w:proofErr w:type="spellEnd"/>
      <w:r>
        <w:t xml:space="preserve"> la opción correspondiente, según el producto a certificar, dentro del listado</w:t>
      </w:r>
      <w:r>
        <w:rPr>
          <w:b/>
        </w:rPr>
        <w:t xml:space="preserve"> “Eficiencia Energética”.</w:t>
      </w:r>
    </w:p>
    <w:p w:rsidR="00026062" w:rsidRDefault="0017161A">
      <w:pPr>
        <w:spacing w:after="300"/>
      </w:pPr>
      <w:r>
        <w:t>El expediente debe contener:</w:t>
      </w:r>
    </w:p>
    <w:p w:rsidR="00026062" w:rsidRDefault="0017161A">
      <w:pPr>
        <w:numPr>
          <w:ilvl w:val="0"/>
          <w:numId w:val="5"/>
        </w:numPr>
        <w:spacing w:after="200"/>
      </w:pPr>
      <w:r>
        <w:t xml:space="preserve">Nota de presentación de Constancia de Inicio, con sus correspondientes </w:t>
      </w:r>
      <w:proofErr w:type="gramStart"/>
      <w:r>
        <w:t>firmas,  indicando</w:t>
      </w:r>
      <w:proofErr w:type="gramEnd"/>
      <w:r>
        <w:t xml:space="preserve"> el reglamento técnico específico según producto.</w:t>
      </w:r>
    </w:p>
    <w:p w:rsidR="00026062" w:rsidRDefault="0017161A">
      <w:pPr>
        <w:numPr>
          <w:ilvl w:val="0"/>
          <w:numId w:val="5"/>
        </w:numPr>
        <w:spacing w:after="200"/>
      </w:pPr>
      <w:r>
        <w:t>Constancia de Inicio del trámite de certificación, emitida por organismo de certificación</w:t>
      </w:r>
    </w:p>
    <w:p w:rsidR="00026062" w:rsidRDefault="0017161A">
      <w:pPr>
        <w:numPr>
          <w:ilvl w:val="0"/>
          <w:numId w:val="5"/>
        </w:numPr>
        <w:spacing w:after="200"/>
      </w:pPr>
      <w:r>
        <w:t>Constancia actualizada de inscripción al RUMP.</w:t>
      </w:r>
    </w:p>
    <w:p w:rsidR="00026062" w:rsidRDefault="0017161A">
      <w:pPr>
        <w:numPr>
          <w:ilvl w:val="0"/>
          <w:numId w:val="5"/>
        </w:numPr>
        <w:spacing w:after="200"/>
      </w:pPr>
      <w:r>
        <w:t>Factura comercial o proforma en caso de corresponder</w:t>
      </w:r>
    </w:p>
    <w:p w:rsidR="00026062" w:rsidRDefault="0017161A">
      <w:pPr>
        <w:numPr>
          <w:ilvl w:val="0"/>
          <w:numId w:val="5"/>
        </w:numPr>
        <w:spacing w:after="200"/>
      </w:pPr>
      <w:r>
        <w:t>Otra documentación.</w:t>
      </w:r>
    </w:p>
    <w:p w:rsidR="00026062" w:rsidRDefault="0017161A">
      <w:pPr>
        <w:spacing w:after="300"/>
        <w:rPr>
          <w:rFonts w:ascii="Times New Roman" w:eastAsia="Times New Roman" w:hAnsi="Times New Roman" w:cs="Times New Roman"/>
          <w:sz w:val="24"/>
          <w:szCs w:val="24"/>
        </w:rPr>
      </w:pPr>
      <w:r>
        <w:rPr>
          <w:rFonts w:ascii="Encode Sans" w:eastAsia="Encode Sans" w:hAnsi="Encode Sans" w:cs="Encode Sans"/>
          <w:b/>
          <w:color w:val="00B0F0"/>
          <w:sz w:val="32"/>
          <w:szCs w:val="32"/>
        </w:rPr>
        <w:t>EXCEPCIÓN</w:t>
      </w:r>
    </w:p>
    <w:p w:rsidR="00026062" w:rsidRDefault="0017161A">
      <w:pPr>
        <w:spacing w:before="200" w:after="200" w:line="240" w:lineRule="auto"/>
        <w:ind w:right="63"/>
        <w:jc w:val="left"/>
        <w:rPr>
          <w:b/>
          <w:color w:val="00B0F0"/>
          <w:sz w:val="28"/>
          <w:szCs w:val="28"/>
        </w:rPr>
      </w:pPr>
      <w:r>
        <w:rPr>
          <w:b/>
          <w:color w:val="00B0F0"/>
          <w:sz w:val="28"/>
          <w:szCs w:val="28"/>
        </w:rPr>
        <w:t>OBJETO</w:t>
      </w:r>
    </w:p>
    <w:p w:rsidR="00026062" w:rsidRDefault="0017161A">
      <w:pPr>
        <w:spacing w:after="0"/>
        <w:ind w:right="63"/>
      </w:pPr>
      <w:r>
        <w:t xml:space="preserve">En caso de que tu producto esté alcanzado por la </w:t>
      </w:r>
      <w:proofErr w:type="gramStart"/>
      <w:r>
        <w:t>normativa</w:t>
      </w:r>
      <w:proofErr w:type="gramEnd"/>
      <w:r>
        <w:t xml:space="preserve"> pero por algún motivo la misma no le fuera aplicable, </w:t>
      </w:r>
      <w:proofErr w:type="spellStart"/>
      <w:r>
        <w:t>podés</w:t>
      </w:r>
      <w:proofErr w:type="spellEnd"/>
      <w:r>
        <w:t xml:space="preserve"> solicitar una excepción a los requisitos establecidos aportando la documentación que justifique dicho motivo.</w:t>
      </w:r>
    </w:p>
    <w:p w:rsidR="00026062" w:rsidRDefault="0017161A">
      <w:pPr>
        <w:keepNext/>
        <w:keepLines/>
        <w:widowControl w:val="0"/>
        <w:pBdr>
          <w:top w:val="nil"/>
          <w:left w:val="nil"/>
          <w:bottom w:val="nil"/>
          <w:right w:val="nil"/>
          <w:between w:val="nil"/>
        </w:pBdr>
        <w:spacing w:before="600" w:after="300"/>
        <w:ind w:right="489"/>
        <w:rPr>
          <w:b/>
          <w:color w:val="00B0F0"/>
          <w:sz w:val="28"/>
          <w:szCs w:val="28"/>
        </w:rPr>
      </w:pPr>
      <w:r>
        <w:rPr>
          <w:b/>
          <w:color w:val="00B0F0"/>
          <w:sz w:val="28"/>
          <w:szCs w:val="28"/>
        </w:rPr>
        <w:lastRenderedPageBreak/>
        <w:t>PROCEDIMIENTO</w:t>
      </w:r>
    </w:p>
    <w:p w:rsidR="00026062" w:rsidRDefault="0017161A">
      <w:proofErr w:type="spellStart"/>
      <w:r>
        <w:t>Realizá</w:t>
      </w:r>
      <w:proofErr w:type="spellEnd"/>
      <w:r>
        <w:t xml:space="preserve"> la presentación de la documentación por medio del trámite </w:t>
      </w:r>
      <w:hyperlink r:id="rId28">
        <w:r>
          <w:rPr>
            <w:b/>
            <w:color w:val="37BBED"/>
            <w:u w:val="single"/>
          </w:rPr>
          <w:t>“Solicitud de Excepción de Reglamentos Técnicos” en la plataforma TAD</w:t>
        </w:r>
      </w:hyperlink>
      <w:r>
        <w:t xml:space="preserve">. </w:t>
      </w:r>
    </w:p>
    <w:p w:rsidR="00026062" w:rsidRDefault="0017161A">
      <w:pPr>
        <w:spacing w:after="300"/>
        <w:rPr>
          <w:b/>
        </w:rPr>
      </w:pPr>
      <w:r>
        <w:t xml:space="preserve">En el apartado </w:t>
      </w:r>
      <w:r>
        <w:rPr>
          <w:b/>
        </w:rPr>
        <w:t>“Datos del Trámite”</w:t>
      </w:r>
      <w:r>
        <w:t xml:space="preserve"> se debe seleccionar la opción correspondiente, según el producto por el cual solicita la excepción, dentro del listado</w:t>
      </w:r>
      <w:r>
        <w:rPr>
          <w:b/>
        </w:rPr>
        <w:t xml:space="preserve"> “Eficiencia Energética”.</w:t>
      </w:r>
    </w:p>
    <w:p w:rsidR="00026062" w:rsidRDefault="0017161A">
      <w:pPr>
        <w:spacing w:after="300"/>
      </w:pPr>
      <w:r>
        <w:t>El expediente debe contener:</w:t>
      </w:r>
    </w:p>
    <w:p w:rsidR="00026062" w:rsidRDefault="0017161A">
      <w:pPr>
        <w:numPr>
          <w:ilvl w:val="0"/>
          <w:numId w:val="2"/>
        </w:numPr>
        <w:spacing w:after="300"/>
      </w:pPr>
      <w:r>
        <w:t>Declaración Jurada de excepción, con sus correspondientes firmas, indicando el reglamento técnico específico según producto.</w:t>
      </w:r>
    </w:p>
    <w:p w:rsidR="00026062" w:rsidRDefault="0017161A">
      <w:pPr>
        <w:numPr>
          <w:ilvl w:val="0"/>
          <w:numId w:val="2"/>
        </w:numPr>
        <w:spacing w:after="300"/>
      </w:pPr>
      <w:r>
        <w:t>Factura comercial del bien declarado o proforma.</w:t>
      </w:r>
    </w:p>
    <w:p w:rsidR="00026062" w:rsidRDefault="0017161A">
      <w:pPr>
        <w:numPr>
          <w:ilvl w:val="0"/>
          <w:numId w:val="2"/>
        </w:numPr>
        <w:spacing w:after="300"/>
      </w:pPr>
      <w:r>
        <w:t>Constancia actualizada de inscripción al RUMP.</w:t>
      </w:r>
    </w:p>
    <w:p w:rsidR="00026062" w:rsidRDefault="0017161A">
      <w:pPr>
        <w:numPr>
          <w:ilvl w:val="0"/>
          <w:numId w:val="2"/>
        </w:numPr>
        <w:spacing w:after="300"/>
      </w:pPr>
      <w:r>
        <w:t xml:space="preserve">Otra documentación respaldatoria del bien declarado y de los datos e información declarados en la solicitud de excepción, como ser folletería, imágenes y especificaciones técnicas. </w:t>
      </w:r>
    </w:p>
    <w:p w:rsidR="00026062" w:rsidRDefault="00026062">
      <w:pPr>
        <w:spacing w:after="300"/>
      </w:pPr>
    </w:p>
    <w:p w:rsidR="00026062" w:rsidRDefault="00026062">
      <w:pPr>
        <w:spacing w:after="0"/>
        <w:jc w:val="left"/>
        <w:rPr>
          <w:rFonts w:ascii="Times New Roman" w:eastAsia="Times New Roman" w:hAnsi="Times New Roman" w:cs="Times New Roman"/>
          <w:sz w:val="24"/>
          <w:szCs w:val="24"/>
        </w:rPr>
      </w:pPr>
    </w:p>
    <w:p w:rsidR="00026062" w:rsidRDefault="0017161A">
      <w:pPr>
        <w:spacing w:after="0"/>
        <w:ind w:right="-2"/>
        <w:rPr>
          <w:color w:val="00B0F0"/>
        </w:rPr>
      </w:pPr>
      <w:r>
        <w:rPr>
          <w:color w:val="00B0F0"/>
        </w:rPr>
        <w:t xml:space="preserve">Según Decreto PEN 274/2019, </w:t>
      </w:r>
      <w:proofErr w:type="gramStart"/>
      <w:r>
        <w:rPr>
          <w:color w:val="00B0F0"/>
        </w:rPr>
        <w:t>la  Secretaría</w:t>
      </w:r>
      <w:proofErr w:type="gramEnd"/>
      <w:r>
        <w:rPr>
          <w:color w:val="00B0F0"/>
        </w:rPr>
        <w:t xml:space="preserve"> de Comercio Interior es la Autoridad de Aplicación.</w:t>
      </w:r>
    </w:p>
    <w:p w:rsidR="00026062" w:rsidRDefault="0017161A">
      <w:pPr>
        <w:spacing w:after="0"/>
        <w:ind w:right="-3"/>
        <w:rPr>
          <w:color w:val="00B0F0"/>
        </w:rPr>
      </w:pPr>
      <w:r>
        <w:rPr>
          <w:color w:val="00B0F0"/>
        </w:rPr>
        <w:t xml:space="preserve">Asimismo se hace saber que en el marco de dicho Decreto, </w:t>
      </w:r>
      <w:proofErr w:type="gramStart"/>
      <w:r>
        <w:rPr>
          <w:color w:val="00B0F0"/>
        </w:rPr>
        <w:t>y  en</w:t>
      </w:r>
      <w:proofErr w:type="gramEnd"/>
      <w:r>
        <w:rPr>
          <w:color w:val="00B0F0"/>
        </w:rPr>
        <w:t xml:space="preserve"> sus normas complementarias, modificatorias y accesorias, ante cualquier falseamiento, incumplimiento o adulteración de la información proporcionada y declarada, la empresa será pasible de sanción.</w:t>
      </w:r>
    </w:p>
    <w:sectPr w:rsidR="00026062">
      <w:headerReference w:type="default" r:id="rId29"/>
      <w:footerReference w:type="default" r:id="rId30"/>
      <w:headerReference w:type="first" r:id="rId31"/>
      <w:footerReference w:type="first" r:id="rId32"/>
      <w:pgSz w:w="11906" w:h="16838"/>
      <w:pgMar w:top="2834" w:right="1417" w:bottom="1417" w:left="1417" w:header="55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A50" w:rsidRDefault="00D63A50">
      <w:pPr>
        <w:spacing w:after="0" w:line="240" w:lineRule="auto"/>
      </w:pPr>
      <w:r>
        <w:separator/>
      </w:r>
    </w:p>
  </w:endnote>
  <w:endnote w:type="continuationSeparator" w:id="0">
    <w:p w:rsidR="00D63A50" w:rsidRDefault="00D6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ncode Sans">
    <w:altName w:val="Calibri"/>
    <w:charset w:val="00"/>
    <w:family w:val="auto"/>
    <w:pitch w:val="default"/>
  </w:font>
  <w:font w:name="Encode Sans Condensed Thi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062" w:rsidRDefault="00026062">
    <w:pPr>
      <w:widowControl w:val="0"/>
      <w:ind w:right="5"/>
      <w:jc w:val="center"/>
      <w:rPr>
        <w:color w:val="7F7F7F"/>
        <w:sz w:val="19"/>
        <w:szCs w:val="19"/>
      </w:rPr>
    </w:pPr>
  </w:p>
  <w:p w:rsidR="00026062" w:rsidRDefault="0017161A">
    <w:pPr>
      <w:widowControl w:val="0"/>
      <w:ind w:left="1132" w:right="19"/>
      <w:jc w:val="right"/>
      <w:rPr>
        <w:rFonts w:ascii="Encode Sans" w:eastAsia="Encode Sans" w:hAnsi="Encode Sans" w:cs="Encode Sans"/>
        <w:color w:val="999999"/>
        <w:sz w:val="10"/>
        <w:szCs w:val="10"/>
      </w:rPr>
    </w:pPr>
    <w:r>
      <w:rPr>
        <w:rFonts w:ascii="Encode Sans" w:eastAsia="Encode Sans" w:hAnsi="Encode Sans" w:cs="Encode Sans"/>
        <w:color w:val="999999"/>
        <w:sz w:val="16"/>
        <w:szCs w:val="16"/>
      </w:rPr>
      <w:fldChar w:fldCharType="begin"/>
    </w:r>
    <w:r>
      <w:rPr>
        <w:rFonts w:ascii="Encode Sans" w:eastAsia="Encode Sans" w:hAnsi="Encode Sans" w:cs="Encode Sans"/>
        <w:color w:val="999999"/>
        <w:sz w:val="16"/>
        <w:szCs w:val="16"/>
      </w:rPr>
      <w:instrText>PAGE</w:instrText>
    </w:r>
    <w:r>
      <w:rPr>
        <w:rFonts w:ascii="Encode Sans" w:eastAsia="Encode Sans" w:hAnsi="Encode Sans" w:cs="Encode Sans"/>
        <w:color w:val="999999"/>
        <w:sz w:val="16"/>
        <w:szCs w:val="16"/>
      </w:rPr>
      <w:fldChar w:fldCharType="separate"/>
    </w:r>
    <w:r w:rsidR="000C2BED">
      <w:rPr>
        <w:rFonts w:ascii="Encode Sans" w:eastAsia="Encode Sans" w:hAnsi="Encode Sans" w:cs="Encode Sans"/>
        <w:noProof/>
        <w:color w:val="999999"/>
        <w:sz w:val="16"/>
        <w:szCs w:val="16"/>
      </w:rPr>
      <w:t>2</w:t>
    </w:r>
    <w:r>
      <w:rPr>
        <w:rFonts w:ascii="Encode Sans" w:eastAsia="Encode Sans" w:hAnsi="Encode Sans" w:cs="Encode Sans"/>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062" w:rsidRDefault="0017161A">
    <w:pPr>
      <w:widowControl w:val="0"/>
      <w:spacing w:after="0"/>
      <w:ind w:right="5"/>
      <w:jc w:val="center"/>
      <w:rPr>
        <w:b/>
        <w:color w:val="66B0FB"/>
      </w:rPr>
    </w:pPr>
    <w:r>
      <w:rPr>
        <w:rFonts w:ascii="Encode Sans" w:eastAsia="Encode Sans" w:hAnsi="Encode Sans" w:cs="Encode Sans"/>
        <w:b/>
        <w:color w:val="37BBED"/>
      </w:rPr>
      <w:t>www.argentina.gob.ar</w:t>
    </w:r>
  </w:p>
  <w:p w:rsidR="00026062" w:rsidRDefault="0017161A">
    <w:pPr>
      <w:widowControl w:val="0"/>
      <w:spacing w:after="0"/>
      <w:ind w:right="5"/>
      <w:jc w:val="right"/>
      <w:rPr>
        <w:b/>
        <w:color w:val="66B0FB"/>
      </w:rPr>
    </w:pPr>
    <w:r>
      <w:rPr>
        <w:rFonts w:ascii="Encode Sans" w:eastAsia="Encode Sans" w:hAnsi="Encode Sans" w:cs="Encode Sans"/>
        <w:color w:val="999999"/>
        <w:sz w:val="16"/>
        <w:szCs w:val="16"/>
      </w:rPr>
      <w:fldChar w:fldCharType="begin"/>
    </w:r>
    <w:r>
      <w:rPr>
        <w:rFonts w:ascii="Encode Sans" w:eastAsia="Encode Sans" w:hAnsi="Encode Sans" w:cs="Encode Sans"/>
        <w:color w:val="999999"/>
        <w:sz w:val="16"/>
        <w:szCs w:val="16"/>
      </w:rPr>
      <w:instrText>PAGE</w:instrText>
    </w:r>
    <w:r>
      <w:rPr>
        <w:rFonts w:ascii="Encode Sans" w:eastAsia="Encode Sans" w:hAnsi="Encode Sans" w:cs="Encode Sans"/>
        <w:color w:val="999999"/>
        <w:sz w:val="16"/>
        <w:szCs w:val="16"/>
      </w:rPr>
      <w:fldChar w:fldCharType="separate"/>
    </w:r>
    <w:r w:rsidR="000C2BED">
      <w:rPr>
        <w:rFonts w:ascii="Encode Sans" w:eastAsia="Encode Sans" w:hAnsi="Encode Sans" w:cs="Encode Sans"/>
        <w:noProof/>
        <w:color w:val="999999"/>
        <w:sz w:val="16"/>
        <w:szCs w:val="16"/>
      </w:rPr>
      <w:t>1</w:t>
    </w:r>
    <w:r>
      <w:rPr>
        <w:rFonts w:ascii="Encode Sans" w:eastAsia="Encode Sans" w:hAnsi="Encode Sans" w:cs="Encode Sans"/>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A50" w:rsidRDefault="00D63A50">
      <w:pPr>
        <w:spacing w:after="0" w:line="240" w:lineRule="auto"/>
      </w:pPr>
      <w:r>
        <w:separator/>
      </w:r>
    </w:p>
  </w:footnote>
  <w:footnote w:type="continuationSeparator" w:id="0">
    <w:p w:rsidR="00D63A50" w:rsidRDefault="00D63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062" w:rsidRDefault="0017161A">
    <w:pPr>
      <w:widowControl w:val="0"/>
      <w:spacing w:line="360" w:lineRule="auto"/>
      <w:rPr>
        <w:b/>
        <w:color w:val="374756"/>
        <w:sz w:val="20"/>
        <w:szCs w:val="20"/>
      </w:rPr>
    </w:pPr>
    <w:r>
      <w:rPr>
        <w:noProof/>
      </w:rPr>
      <w:drawing>
        <wp:anchor distT="114300" distB="114300" distL="114300" distR="114300" simplePos="0" relativeHeight="251658240" behindDoc="0" locked="0" layoutInCell="1" hidden="0" allowOverlap="1">
          <wp:simplePos x="0" y="0"/>
          <wp:positionH relativeFrom="column">
            <wp:posOffset>14605</wp:posOffset>
          </wp:positionH>
          <wp:positionV relativeFrom="paragraph">
            <wp:posOffset>294123</wp:posOffset>
          </wp:positionV>
          <wp:extent cx="1381125" cy="459504"/>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381125" cy="459504"/>
                  </a:xfrm>
                  <a:prstGeom prst="rect">
                    <a:avLst/>
                  </a:prstGeom>
                  <a:ln/>
                </pic:spPr>
              </pic:pic>
            </a:graphicData>
          </a:graphic>
          <wp14:sizeRelV relativeFrom="margin">
            <wp14:pctHeight>0</wp14:pctHeight>
          </wp14:sizeRelV>
        </wp:anchor>
      </w:drawing>
    </w:r>
  </w:p>
  <w:p w:rsidR="00026062" w:rsidRDefault="00026062">
    <w:pPr>
      <w:widowControl w:val="0"/>
      <w:spacing w:line="360" w:lineRule="auto"/>
      <w:jc w:val="right"/>
      <w:rPr>
        <w:b/>
        <w:color w:val="374756"/>
        <w:sz w:val="20"/>
        <w:szCs w:val="20"/>
      </w:rPr>
    </w:pPr>
  </w:p>
  <w:p w:rsidR="00026062" w:rsidRDefault="0017161A">
    <w:pPr>
      <w:widowControl w:val="0"/>
      <w:spacing w:before="100" w:after="500" w:line="360" w:lineRule="auto"/>
      <w:jc w:val="right"/>
      <w:rPr>
        <w:b/>
        <w:color w:val="666666"/>
        <w:sz w:val="16"/>
        <w:szCs w:val="16"/>
      </w:rPr>
    </w:pPr>
    <w:r>
      <w:rPr>
        <w:color w:val="666666"/>
        <w:sz w:val="16"/>
        <w:szCs w:val="16"/>
      </w:rPr>
      <w:t xml:space="preserve"> Instructivo </w:t>
    </w:r>
    <w:r>
      <w:rPr>
        <w:b/>
        <w:color w:val="666666"/>
        <w:sz w:val="16"/>
        <w:szCs w:val="16"/>
      </w:rPr>
      <w:t>Etiquetado de Eficiencia Energética</w:t>
    </w:r>
  </w:p>
  <w:p w:rsidR="00026062" w:rsidRDefault="00D63A50">
    <w:pPr>
      <w:widowControl w:val="0"/>
      <w:spacing w:line="360" w:lineRule="auto"/>
      <w:jc w:val="right"/>
      <w:rPr>
        <w:b/>
        <w:color w:val="374756"/>
        <w:sz w:val="20"/>
        <w:szCs w:val="20"/>
      </w:rPr>
    </w:pPr>
    <w:r>
      <w:pict>
        <v:rect id="_x0000_i1025" style="width:0;height:1.5pt" o:hralign="center" o:hrstd="t" o:hr="t" fillcolor="#a0a0a0" stroked="f"/>
      </w:pict>
    </w:r>
  </w:p>
  <w:p w:rsidR="00026062" w:rsidRDefault="00026062">
    <w:pPr>
      <w:widowControl w:val="0"/>
      <w:spacing w:line="360" w:lineRule="auto"/>
      <w:jc w:val="right"/>
      <w:rPr>
        <w:b/>
        <w:color w:val="374756"/>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062" w:rsidRDefault="0017161A">
    <w:pPr>
      <w:widowControl w:val="0"/>
      <w:spacing w:line="360" w:lineRule="auto"/>
    </w:pPr>
    <w:r>
      <w:rPr>
        <w:b/>
        <w:noProof/>
        <w:color w:val="374756"/>
        <w:sz w:val="20"/>
        <w:szCs w:val="20"/>
      </w:rPr>
      <w:drawing>
        <wp:inline distT="114300" distB="114300" distL="114300" distR="114300">
          <wp:extent cx="1434521" cy="47726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34521" cy="477269"/>
                  </a:xfrm>
                  <a:prstGeom prst="rect">
                    <a:avLst/>
                  </a:prstGeom>
                  <a:ln/>
                </pic:spPr>
              </pic:pic>
            </a:graphicData>
          </a:graphic>
        </wp:inline>
      </w:drawing>
    </w:r>
    <w:r w:rsidR="00D63A50">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42C2"/>
    <w:multiLevelType w:val="multilevel"/>
    <w:tmpl w:val="BF906CF6"/>
    <w:lvl w:ilvl="0">
      <w:start w:val="1"/>
      <w:numFmt w:val="lowerLetter"/>
      <w:lvlText w:val="%1."/>
      <w:lvlJc w:val="left"/>
      <w:pPr>
        <w:ind w:left="720" w:hanging="360"/>
      </w:pPr>
      <w:rPr>
        <w:color w:val="37BBE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7A0D6C"/>
    <w:multiLevelType w:val="multilevel"/>
    <w:tmpl w:val="38DA892A"/>
    <w:lvl w:ilvl="0">
      <w:start w:val="1"/>
      <w:numFmt w:val="lowerLetter"/>
      <w:lvlText w:val="%1."/>
      <w:lvlJc w:val="left"/>
      <w:pPr>
        <w:ind w:left="720" w:hanging="360"/>
      </w:pPr>
      <w:rPr>
        <w:color w:val="00B0F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D9110E"/>
    <w:multiLevelType w:val="multilevel"/>
    <w:tmpl w:val="EA08C3F6"/>
    <w:lvl w:ilvl="0">
      <w:start w:val="1"/>
      <w:numFmt w:val="lowerLetter"/>
      <w:lvlText w:val="%1."/>
      <w:lvlJc w:val="left"/>
      <w:pPr>
        <w:ind w:left="720" w:hanging="360"/>
      </w:pPr>
      <w:rPr>
        <w:color w:val="37BBE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152F4A"/>
    <w:multiLevelType w:val="multilevel"/>
    <w:tmpl w:val="D93A46CC"/>
    <w:lvl w:ilvl="0">
      <w:start w:val="1"/>
      <w:numFmt w:val="lowerLetter"/>
      <w:lvlText w:val="%1."/>
      <w:lvlJc w:val="left"/>
      <w:pPr>
        <w:ind w:left="720" w:hanging="360"/>
      </w:pPr>
      <w:rPr>
        <w:color w:val="37BBED"/>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CBD7668"/>
    <w:multiLevelType w:val="multilevel"/>
    <w:tmpl w:val="6754748A"/>
    <w:lvl w:ilvl="0">
      <w:start w:val="1"/>
      <w:numFmt w:val="bullet"/>
      <w:lvlText w:val="●"/>
      <w:lvlJc w:val="left"/>
      <w:pPr>
        <w:ind w:left="720" w:hanging="360"/>
      </w:pPr>
      <w:rPr>
        <w:color w:val="37BBE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62"/>
    <w:rsid w:val="00026062"/>
    <w:rsid w:val="000C2BED"/>
    <w:rsid w:val="0017161A"/>
    <w:rsid w:val="00383925"/>
    <w:rsid w:val="00D63A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07B86-5E2B-4352-AE53-0F60180D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sz w:val="22"/>
        <w:szCs w:val="22"/>
        <w:lang w:val="es-AR" w:eastAsia="es-AR" w:bidi="ar-SA"/>
      </w:rPr>
    </w:rPrDefault>
    <w:pPrDefault>
      <w:pPr>
        <w:spacing w:after="16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667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67B6"/>
    <w:rPr>
      <w:rFonts w:ascii="Tahoma" w:hAnsi="Tahoma" w:cs="Tahoma"/>
      <w:sz w:val="16"/>
      <w:szCs w:val="16"/>
    </w:rPr>
  </w:style>
  <w:style w:type="paragraph" w:styleId="Sinespaciado">
    <w:name w:val="No Spacing"/>
    <w:uiPriority w:val="1"/>
    <w:qFormat/>
    <w:rsid w:val="006667B6"/>
    <w:pPr>
      <w:spacing w:after="0" w:line="240" w:lineRule="auto"/>
    </w:pPr>
  </w:style>
  <w:style w:type="paragraph" w:styleId="NormalWeb">
    <w:name w:val="Normal (Web)"/>
    <w:basedOn w:val="Normal"/>
    <w:uiPriority w:val="99"/>
    <w:semiHidden/>
    <w:unhideWhenUsed/>
    <w:rsid w:val="006667B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Prrafodelista">
    <w:name w:val="List Paragraph"/>
    <w:basedOn w:val="Normal"/>
    <w:uiPriority w:val="34"/>
    <w:qFormat/>
    <w:rsid w:val="000C2BED"/>
    <w:pPr>
      <w:ind w:left="720"/>
      <w:contextualSpacing/>
    </w:pPr>
  </w:style>
  <w:style w:type="character" w:styleId="Hipervnculo">
    <w:name w:val="Hyperlink"/>
    <w:basedOn w:val="Fuentedeprrafopredeter"/>
    <w:uiPriority w:val="99"/>
    <w:unhideWhenUsed/>
    <w:rsid w:val="000C2BED"/>
    <w:rPr>
      <w:color w:val="0000FF" w:themeColor="hyperlink"/>
      <w:u w:val="single"/>
    </w:rPr>
  </w:style>
  <w:style w:type="character" w:styleId="Mencinsinresolver">
    <w:name w:val="Unresolved Mention"/>
    <w:basedOn w:val="Fuentedeprrafopredeter"/>
    <w:uiPriority w:val="99"/>
    <w:semiHidden/>
    <w:unhideWhenUsed/>
    <w:rsid w:val="000C2BED"/>
    <w:rPr>
      <w:color w:val="605E5C"/>
      <w:shd w:val="clear" w:color="auto" w:fill="E1DFDD"/>
    </w:rPr>
  </w:style>
  <w:style w:type="paragraph" w:styleId="Encabezado">
    <w:name w:val="header"/>
    <w:basedOn w:val="Normal"/>
    <w:link w:val="EncabezadoCar"/>
    <w:uiPriority w:val="99"/>
    <w:unhideWhenUsed/>
    <w:rsid w:val="003839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3925"/>
  </w:style>
  <w:style w:type="paragraph" w:styleId="Piedepgina">
    <w:name w:val="footer"/>
    <w:basedOn w:val="Normal"/>
    <w:link w:val="PiedepginaCar"/>
    <w:uiPriority w:val="99"/>
    <w:unhideWhenUsed/>
    <w:rsid w:val="003839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infoleg.gov.ar/infolegInternet/anexos/175000-179999/175674/norma.htm" TargetMode="External"/><Relationship Id="rId18" Type="http://schemas.openxmlformats.org/officeDocument/2006/relationships/hyperlink" Target="http://servicios.infoleg.gob.ar/infolegInternet/anexos/265000-269999/267555/norma.htm" TargetMode="External"/><Relationship Id="rId26" Type="http://schemas.openxmlformats.org/officeDocument/2006/relationships/hyperlink" Target="https://tramitesadistancia.gob.ar/tramitesadistancia/detalle-tipo?id=3051" TargetMode="External"/><Relationship Id="rId3" Type="http://schemas.openxmlformats.org/officeDocument/2006/relationships/styles" Target="styles.xml"/><Relationship Id="rId21" Type="http://schemas.openxmlformats.org/officeDocument/2006/relationships/hyperlink" Target="http://servicios.infoleg.gob.ar/infolegInternet/anexos/330000-334999/332610/texact.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foleg.gob.ar/infolegInternet/anexos/220000-224999/220928/norma.htm" TargetMode="External"/><Relationship Id="rId17" Type="http://schemas.openxmlformats.org/officeDocument/2006/relationships/hyperlink" Target="http://servicios.infoleg.gob.ar/infolegInternet/anexos/330000-334999/332692/norma.htm" TargetMode="External"/><Relationship Id="rId25" Type="http://schemas.openxmlformats.org/officeDocument/2006/relationships/hyperlink" Target="https://tramitesadistancia.gob.ar/tramitesadistancia/detalle-tipo?id=305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rvicios.infoleg.gob.ar/infolegInternet/anexos/265000-269999/267379/norma.htm" TargetMode="External"/><Relationship Id="rId20" Type="http://schemas.openxmlformats.org/officeDocument/2006/relationships/hyperlink" Target="http://servicios.infoleg.gob.ar/infolegInternet/anexos/340000-344999/342816/norma.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g.gov.ar/infolegInternet/anexos/145000-149999/147008/norma.htm" TargetMode="External"/><Relationship Id="rId24" Type="http://schemas.openxmlformats.org/officeDocument/2006/relationships/hyperlink" Target="https://tramitesadistancia.gob.ar/tramitesadistancia/detalle-tipo?id=465"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rvicios.infoleg.gob.ar/infolegInternet/anexos/250000-254999/251749/norma.htm" TargetMode="External"/><Relationship Id="rId23" Type="http://schemas.openxmlformats.org/officeDocument/2006/relationships/hyperlink" Target="http://servicios.infoleg.gob.ar/infolegInternet/anexos/350000-354999/354939/norma.htm" TargetMode="External"/><Relationship Id="rId28" Type="http://schemas.openxmlformats.org/officeDocument/2006/relationships/hyperlink" Target="https://tramitesadistancia.gob.ar/tramitesadistancia/detalle-tipo?id=3687" TargetMode="External"/><Relationship Id="rId10" Type="http://schemas.openxmlformats.org/officeDocument/2006/relationships/hyperlink" Target="http://infoleg.mecon.gov.ar/infolegInternet/anexos/125000-129999/126402/texact.htm" TargetMode="External"/><Relationship Id="rId19" Type="http://schemas.openxmlformats.org/officeDocument/2006/relationships/hyperlink" Target="http://servicios.infoleg.gob.ar/infolegInternet/anexos/330000-334999/333282/texact.ht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foleg.gov.ar/infolegInternet/anexos/100000-104999/104772/texact.htm" TargetMode="External"/><Relationship Id="rId14" Type="http://schemas.openxmlformats.org/officeDocument/2006/relationships/hyperlink" Target="http://servicios.infoleg.gob.ar/infolegInternet/anexos/250000-254999/251748/norma.htm" TargetMode="External"/><Relationship Id="rId22" Type="http://schemas.openxmlformats.org/officeDocument/2006/relationships/hyperlink" Target="http://servicios.infoleg.gob.ar/infolegInternet/anexos/340000-344999/344366/norma.htm" TargetMode="External"/><Relationship Id="rId27" Type="http://schemas.openxmlformats.org/officeDocument/2006/relationships/hyperlink" Target="https://tramitesadistancia.gob.ar/tramitesadistancia/detalle-tipo?id=3181" TargetMode="External"/><Relationship Id="rId30" Type="http://schemas.openxmlformats.org/officeDocument/2006/relationships/footer" Target="footer1.xml"/><Relationship Id="rId8" Type="http://schemas.openxmlformats.org/officeDocument/2006/relationships/hyperlink" Target="http://www.infoleg.gov.ar/infolegInternet/anexos/55000-59999/57667/texac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vSNYVvVXGsvW3wrHt479seZ1CQ==">AMUW2mWtxPxDhojOasxV/BJ9mcXHKLLCX0JrsmYwAVUHl9rqsu0DJ9tR1+Qnj4MOaS0dX850CJ1VQ7UbjJTsSkCNZM9vHI349oky0YmTtZ4BVfq7t6l/3im1e2M/BbVgE1w5GQuSlOpBHsnlyLGgdGEspUco2tTL7Ws2+DcXc4+NUeFus7MM/JYM9blrbYG71sTUa9gYT5kCnqZ63wuQ2J/Giq4fCtkHsTkUmh4IuAq7uIsFPQtvze/OWJ876vUwDJY/WOOs3K8hxqHWeCbCa15Syxkwr5ucX7m2C2YeLk7gt2aTUwjnloLer2Xk6MaVdx3ewWSQ90NeM0T+lWbY7W1ijv5TCHis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1880</Words>
  <Characters>10342</Characters>
  <Application>Microsoft Office Word</Application>
  <DocSecurity>0</DocSecurity>
  <Lines>86</Lines>
  <Paragraphs>24</Paragraphs>
  <ScaleCrop>false</ScaleCrop>
  <Company>Ministerio de Desarrollo Productivos</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Danhel Bruna</cp:lastModifiedBy>
  <cp:revision>3</cp:revision>
  <dcterms:created xsi:type="dcterms:W3CDTF">2021-05-06T13:55:00Z</dcterms:created>
  <dcterms:modified xsi:type="dcterms:W3CDTF">2022-08-12T18:18:00Z</dcterms:modified>
</cp:coreProperties>
</file>